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center" w:pos="4419"/>
          <w:tab w:val="right" w:pos="8838"/>
        </w:tabs>
        <w:spacing w:line="240" w:lineRule="auto"/>
        <w:ind w:left="0" w:hanging="2"/>
        <w:jc w:val="both"/>
        <w:rPr>
          <w:rFonts w:ascii="ZapfHumnst BT" w:cs="ZapfHumnst BT" w:eastAsia="ZapfHumnst BT" w:hAnsi="ZapfHumnst BT"/>
          <w:color w:val="000000"/>
          <w:sz w:val="20"/>
          <w:szCs w:val="20"/>
        </w:rPr>
      </w:pPr>
      <w:r w:rsidDel="00000000" w:rsidR="00000000" w:rsidRPr="00000000">
        <w:rPr>
          <w:rFonts w:ascii="ZapfHumnst BT" w:cs="ZapfHumnst BT" w:eastAsia="ZapfHumnst BT" w:hAnsi="ZapfHumnst BT"/>
          <w:color w:val="000000"/>
          <w:sz w:val="20"/>
          <w:szCs w:val="20"/>
          <w:rtl w:val="0"/>
        </w:rPr>
        <w:t xml:space="preserve">                                                        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</wp:posOffset>
            </wp:positionH>
            <wp:positionV relativeFrom="paragraph">
              <wp:posOffset>3810</wp:posOffset>
            </wp:positionV>
            <wp:extent cx="801370" cy="787400"/>
            <wp:effectExtent b="0" l="0" r="0" t="0"/>
            <wp:wrapSquare wrapText="bothSides" distB="0" distT="0" distL="114300" distR="114300"/>
            <wp:docPr id="102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01370" cy="787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center" w:pos="4419"/>
          <w:tab w:val="right" w:pos="8838"/>
        </w:tabs>
        <w:spacing w:line="240" w:lineRule="auto"/>
        <w:ind w:left="1" w:right="1882" w:hanging="3"/>
        <w:jc w:val="both"/>
        <w:rPr>
          <w:rFonts w:ascii="ZapfHumnst BT" w:cs="ZapfHumnst BT" w:eastAsia="ZapfHumnst BT" w:hAnsi="ZapfHumnst BT"/>
          <w:color w:val="000000"/>
          <w:sz w:val="28"/>
          <w:szCs w:val="28"/>
        </w:rPr>
      </w:pPr>
      <w:r w:rsidDel="00000000" w:rsidR="00000000" w:rsidRPr="00000000">
        <w:rPr>
          <w:rFonts w:ascii="ZapfHumnst BT" w:cs="ZapfHumnst BT" w:eastAsia="ZapfHumnst BT" w:hAnsi="ZapfHumnst BT"/>
          <w:b w:val="1"/>
          <w:color w:val="000000"/>
          <w:sz w:val="28"/>
          <w:szCs w:val="28"/>
          <w:rtl w:val="0"/>
        </w:rPr>
        <w:t xml:space="preserve">Ministério da Educação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center" w:pos="4419"/>
          <w:tab w:val="right" w:pos="8838"/>
        </w:tabs>
        <w:spacing w:line="240" w:lineRule="auto"/>
        <w:ind w:left="1" w:right="1882" w:hanging="3"/>
        <w:jc w:val="both"/>
        <w:rPr>
          <w:rFonts w:ascii="ZapfHumnst BT" w:cs="ZapfHumnst BT" w:eastAsia="ZapfHumnst BT" w:hAnsi="ZapfHumnst BT"/>
          <w:color w:val="000000"/>
          <w:sz w:val="28"/>
          <w:szCs w:val="28"/>
        </w:rPr>
      </w:pPr>
      <w:r w:rsidDel="00000000" w:rsidR="00000000" w:rsidRPr="00000000">
        <w:rPr>
          <w:rFonts w:ascii="ZapfHumnst BT" w:cs="ZapfHumnst BT" w:eastAsia="ZapfHumnst BT" w:hAnsi="ZapfHumnst BT"/>
          <w:b w:val="1"/>
          <w:color w:val="000000"/>
          <w:sz w:val="28"/>
          <w:szCs w:val="28"/>
          <w:rtl w:val="0"/>
        </w:rPr>
        <w:t xml:space="preserve">Universidade Federal de Santa Maria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center" w:pos="4419"/>
          <w:tab w:val="right" w:pos="8838"/>
        </w:tabs>
        <w:spacing w:line="240" w:lineRule="auto"/>
        <w:ind w:left="1" w:right="1882" w:hanging="3"/>
        <w:jc w:val="both"/>
        <w:rPr>
          <w:rFonts w:ascii="ZapfHumnst BT" w:cs="ZapfHumnst BT" w:eastAsia="ZapfHumnst BT" w:hAnsi="ZapfHumnst BT"/>
          <w:color w:val="000000"/>
          <w:sz w:val="28"/>
          <w:szCs w:val="28"/>
        </w:rPr>
      </w:pPr>
      <w:r w:rsidDel="00000000" w:rsidR="00000000" w:rsidRPr="00000000">
        <w:rPr>
          <w:rFonts w:ascii="ZapfHumnst BT" w:cs="ZapfHumnst BT" w:eastAsia="ZapfHumnst BT" w:hAnsi="ZapfHumnst BT"/>
          <w:b w:val="1"/>
          <w:color w:val="000000"/>
          <w:sz w:val="28"/>
          <w:szCs w:val="28"/>
          <w:rtl w:val="0"/>
        </w:rPr>
        <w:t xml:space="preserve">Pró Reitoria de Infraestrutura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ind w:left="0" w:hanging="2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left="1" w:hanging="3"/>
        <w:jc w:val="center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ESPECIFICAÇÕES TÉCNICAS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ind w:left="1" w:hanging="3"/>
        <w:jc w:val="both"/>
        <w:rPr>
          <w:rFonts w:ascii="ZapfHumnst BT" w:cs="ZapfHumnst BT" w:eastAsia="ZapfHumnst BT" w:hAnsi="ZapfHumnst BT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b w:val="1"/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OBRA :  RECUPERAÇÃO PINTURA EXTERNA ESTÚDIO TV - FW</w:t>
      </w:r>
    </w:p>
    <w:p w:rsidR="00000000" w:rsidDel="00000000" w:rsidP="00000000" w:rsidRDefault="00000000" w:rsidRPr="00000000" w14:paraId="00000009">
      <w:pPr>
        <w:ind w:left="0" w:hanging="2"/>
        <w:jc w:val="both"/>
        <w:rPr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Local da Obra: </w:t>
      </w:r>
      <w:r w:rsidDel="00000000" w:rsidR="00000000" w:rsidRPr="00000000">
        <w:rPr>
          <w:sz w:val="22"/>
          <w:szCs w:val="22"/>
          <w:rtl w:val="0"/>
        </w:rPr>
        <w:t xml:space="preserve">Estúdio de TV – Campus Frederico Westphalen - RS.</w:t>
      </w:r>
    </w:p>
    <w:p w:rsidR="00000000" w:rsidDel="00000000" w:rsidP="00000000" w:rsidRDefault="00000000" w:rsidRPr="00000000" w14:paraId="0000000A">
      <w:pPr>
        <w:ind w:left="0" w:hanging="2"/>
        <w:jc w:val="both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b w:val="1"/>
          <w:color w:val="000000"/>
          <w:sz w:val="20"/>
          <w:szCs w:val="20"/>
        </w:rPr>
      </w:pP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OBJETIVOS</w:t>
      </w:r>
    </w:p>
    <w:p w:rsidR="00000000" w:rsidDel="00000000" w:rsidP="00000000" w:rsidRDefault="00000000" w:rsidRPr="00000000" w14:paraId="0000000C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 A presente especificação tem por objetivo definir os trabalhos de reforma </w:t>
      </w:r>
      <w:r w:rsidDel="00000000" w:rsidR="00000000" w:rsidRPr="00000000">
        <w:rPr>
          <w:sz w:val="20"/>
          <w:szCs w:val="20"/>
          <w:rtl w:val="0"/>
        </w:rPr>
        <w:t xml:space="preserve">e pintura do Estúdio de TV do campus de Frederico Westphalen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. Os serviços, necessários à conclusão da obra, estão relacionados abaixo:</w:t>
      </w:r>
    </w:p>
    <w:p w:rsidR="00000000" w:rsidDel="00000000" w:rsidP="00000000" w:rsidRDefault="00000000" w:rsidRPr="00000000" w14:paraId="0000000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b w:val="1"/>
          <w:color w:val="000000"/>
          <w:sz w:val="20"/>
          <w:szCs w:val="20"/>
        </w:rPr>
      </w:pP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GENERALIDADES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Deverá ser obedecida a seguinte documentação técnica:</w:t>
      </w:r>
    </w:p>
    <w:p w:rsidR="00000000" w:rsidDel="00000000" w:rsidP="00000000" w:rsidRDefault="00000000" w:rsidRPr="00000000" w14:paraId="0000001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- Estas especificações técnicas;</w:t>
      </w:r>
    </w:p>
    <w:p w:rsidR="00000000" w:rsidDel="00000000" w:rsidP="00000000" w:rsidRDefault="00000000" w:rsidRPr="00000000" w14:paraId="0000001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- Orçamento e Cronograma Físico-Financeiro;</w:t>
      </w:r>
    </w:p>
    <w:p w:rsidR="00000000" w:rsidDel="00000000" w:rsidP="00000000" w:rsidRDefault="00000000" w:rsidRPr="00000000" w14:paraId="0000001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- Projetos;</w:t>
      </w:r>
    </w:p>
    <w:p w:rsidR="00000000" w:rsidDel="00000000" w:rsidP="00000000" w:rsidRDefault="00000000" w:rsidRPr="00000000" w14:paraId="0000001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- Normas da ABNT.</w:t>
      </w:r>
    </w:p>
    <w:p w:rsidR="00000000" w:rsidDel="00000000" w:rsidP="00000000" w:rsidRDefault="00000000" w:rsidRPr="00000000" w14:paraId="00000019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Durante a execução dos serviços a empresa contratada deverá tomar todas as precauções, quanto aos andaimes, tapumes, etc., com a finalidade de garantir uma perfeita segurança ao trânsito de pessoas junto à obra. Para tanto deverá manter uma sinalização adequada.</w:t>
      </w:r>
    </w:p>
    <w:p w:rsidR="00000000" w:rsidDel="00000000" w:rsidP="00000000" w:rsidRDefault="00000000" w:rsidRPr="00000000" w14:paraId="0000001A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Todos os materiais, mão de obra e equipamentos necessários para a execução dos serviços deverão ser fornecidos pela empresa contratada.</w:t>
      </w:r>
    </w:p>
    <w:p w:rsidR="00000000" w:rsidDel="00000000" w:rsidP="00000000" w:rsidRDefault="00000000" w:rsidRPr="00000000" w14:paraId="0000001B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 deverá apresentar à Fiscalização, antes do inicio dos serviços, a ART (Anotação de Responsabilidade Técnica) com a descrição do objeto contratado (execução e/ou projeto), sendo pré requisito para liberação da primeira fatura.</w:t>
      </w:r>
    </w:p>
    <w:p w:rsidR="00000000" w:rsidDel="00000000" w:rsidP="00000000" w:rsidRDefault="00000000" w:rsidRPr="00000000" w14:paraId="0000001C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Conforme o Art. 75 da Lei 8.666 de 21 de junho de 1993, salvo disposições em contrário constantes do edital, do convite ou de ato normativo, os ensaios, testes e demais provas exigidos por normas técnicas oficiais para a boa execução do objeto do contrato correm por conta do contratado.</w:t>
      </w:r>
    </w:p>
    <w:p w:rsidR="00000000" w:rsidDel="00000000" w:rsidP="00000000" w:rsidRDefault="00000000" w:rsidRPr="00000000" w14:paraId="0000001D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Será permitida a subcontratação somente nos serviços de terraplenagem, fundações, impermeabilizações, divisórias leves, gesso, climatização, estruturas metálicas, ceramistas. Os subcontratados, quando empresas, deverão apresentar a mesma documentação exigida da empresa contratada. Quando se tratar de profissional autônomo, este deverá apresentar documentação que comprove a legalização de suas atividades, tais como: ISSQN, carnê de recolhimento do INSS, etc.</w:t>
      </w:r>
    </w:p>
    <w:p w:rsidR="00000000" w:rsidDel="00000000" w:rsidP="00000000" w:rsidRDefault="00000000" w:rsidRPr="00000000" w14:paraId="0000001E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 deverá prestar toda a assistência técnica e administrativa, mantendo na obra um </w:t>
      </w: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Encarregado Geral com experiência mínima comprovada de 2 anos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, o qual </w:t>
      </w: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não deverá se afastar do local de trabalho durante o horário normal de serviço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. Além disso, deverá ser representada por um técnico, Engenheiro Civil ou Arquiteto, que deverá permanecer na obra, no mínimo 1 hora por dia, com vínculo à contratada, residente no município em que serão executados os serviços.</w:t>
      </w:r>
    </w:p>
    <w:p w:rsidR="00000000" w:rsidDel="00000000" w:rsidP="00000000" w:rsidRDefault="00000000" w:rsidRPr="00000000" w14:paraId="0000001F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 deverá comunicar e passar as informações necessárias à Delegacia Regional do Trabalho, antes do início das atividades e deverá também providenciar e fiscalizar o uso de todos os equipamentos de segurança necessários ao andamento da obra, bem como elaborar e cumprir o PCMAT, quando a legislação assim exigir, ou seja, atender plenamente as recomendações da NR 18.</w:t>
      </w:r>
    </w:p>
    <w:p w:rsidR="00000000" w:rsidDel="00000000" w:rsidP="00000000" w:rsidRDefault="00000000" w:rsidRPr="00000000" w14:paraId="00000020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 deverá </w:t>
      </w:r>
      <w:r w:rsidDel="00000000" w:rsidR="00000000" w:rsidRPr="00000000">
        <w:rPr>
          <w:b w:val="1"/>
          <w:i w:val="1"/>
          <w:color w:val="000000"/>
          <w:sz w:val="20"/>
          <w:szCs w:val="20"/>
          <w:rtl w:val="0"/>
        </w:rPr>
        <w:t xml:space="preserve">providenciar e fiscalizar o uso de todos os equipamentos de segurança necessários ao andamento da obra, atendendo as recomendações da NR 18.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contratada, além dos equipamentos normais de segurança para seus funcionários, deverá manter a disposição no escritório da obra, capacetes para a Fiscalização e eventuais visitantes.</w:t>
      </w:r>
    </w:p>
    <w:p w:rsidR="00000000" w:rsidDel="00000000" w:rsidP="00000000" w:rsidRDefault="00000000" w:rsidRPr="00000000" w14:paraId="00000022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 deverá manter no escritório da obra, relação com o nome e função de todos os funcionários da mesma, inclusive os subcontratados.</w:t>
      </w:r>
    </w:p>
    <w:p w:rsidR="00000000" w:rsidDel="00000000" w:rsidP="00000000" w:rsidRDefault="00000000" w:rsidRPr="00000000" w14:paraId="00000023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 deverá manter limpo o canteiro de obras fazendo a remoção periódica do lixo e entulhos da obra para um local que não venha a causar transtornos no decorrer da obra. Na entrega da obra a mesma deverá estar perfeitamente limpa assim como a região do canteiro da obra. Todo o resíduo gerado pelos serviços deverá ser encaminhado para aterro, fora da UFSM, licenciado por órgãos ambientais e deverá ser transportado por empresa credenciada por órgãos ambientais, conforme legislação vigente.</w:t>
      </w:r>
    </w:p>
    <w:p w:rsidR="00000000" w:rsidDel="00000000" w:rsidP="00000000" w:rsidRDefault="00000000" w:rsidRPr="00000000" w14:paraId="00000024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0"/>
        </w:tabs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Todo o transporte (vertical e horizontal) de material ou pessoal, que se fizer necessário para a execução da obra, ficará a cargo da empresa contratada. </w:t>
      </w:r>
    </w:p>
    <w:p w:rsidR="00000000" w:rsidDel="00000000" w:rsidP="00000000" w:rsidRDefault="00000000" w:rsidRPr="00000000" w14:paraId="00000025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UFSM deverá fornecer a água, energia elétrica, sendo que as extensões até o ponto de uso serão de responsabilidade da empresa contratada.</w:t>
      </w:r>
    </w:p>
    <w:p w:rsidR="00000000" w:rsidDel="00000000" w:rsidP="00000000" w:rsidRDefault="00000000" w:rsidRPr="00000000" w14:paraId="00000026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 deverá elaborar o “as built” (como construído) ao longo da execução dos serviços e entregá-lo no final da obra em meio digital. A liberação da última fatura ficará condicionada a apresentação dos referidos projetos como construído.</w:t>
      </w:r>
    </w:p>
    <w:p w:rsidR="00000000" w:rsidDel="00000000" w:rsidP="00000000" w:rsidRDefault="00000000" w:rsidRPr="00000000" w14:paraId="00000027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São de responsabilidade da empresa contratada os danos causados diretamente à Administração ou a terceiros, decorrentes de sua culpa ou dolo na execução do contrato. O acompanhamento e a fiscalização do contrato pela Administração não excluem ou reduzem essa responsabilidade. A empresa contratada deve facilitar a fiscalização, permitir amplo acesso ao objeto em execução e atender prontamente às solicitações da Administração.</w:t>
      </w:r>
    </w:p>
    <w:p w:rsidR="00000000" w:rsidDel="00000000" w:rsidP="00000000" w:rsidRDefault="00000000" w:rsidRPr="00000000" w14:paraId="00000028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 A empresa contratada deverá manter atualizado o diário de obras que será preenchido diariamente pelo responsável técnico da empresa. A fiscalização fornecerá um </w:t>
      </w:r>
      <w:r w:rsidDel="00000000" w:rsidR="00000000" w:rsidRPr="00000000">
        <w:rPr>
          <w:i w:val="1"/>
          <w:color w:val="000000"/>
          <w:sz w:val="20"/>
          <w:szCs w:val="20"/>
          <w:rtl w:val="0"/>
        </w:rPr>
        <w:t xml:space="preserve">link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 na internet bem como a senha de acesso para o preenchimento do diário que servirá como comunicação oficial entre a empresa e UFSM. Mensalmente a empresa contratada deverá imprimir e entregar os diários do mês transcorrido, impresso e assinado, para o fiscal da obra, sendo que as medições só serão realizadas com a apresentação impressa do diário.</w:t>
      </w:r>
    </w:p>
    <w:p w:rsidR="00000000" w:rsidDel="00000000" w:rsidP="00000000" w:rsidRDefault="00000000" w:rsidRPr="00000000" w14:paraId="00000029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 deverá manter na obra duas cópias atualizadas de todos os projetos, especificações e planilha de quantitativos, sendo que uma delas deverá estar permanentemente no escritório da obra e será utilizada apenas pelo Responsável técnico e mestre-de-obras da empresa e pela Fiscalização.</w:t>
      </w:r>
    </w:p>
    <w:p w:rsidR="00000000" w:rsidDel="00000000" w:rsidP="00000000" w:rsidRDefault="00000000" w:rsidRPr="00000000" w14:paraId="0000002A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Nenhum trabalho adicional ou modificação de projeto será efetivado pela Contratada sem a prévia e expressa autorização por escrito da fiscalização da UFSM, respeitadas todas as disposições e condições estabelecidas no contrato.</w:t>
      </w:r>
    </w:p>
    <w:p w:rsidR="00000000" w:rsidDel="00000000" w:rsidP="00000000" w:rsidRDefault="00000000" w:rsidRPr="00000000" w14:paraId="0000002B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Todo e qualquer dano aos prédios e patrimônio da UFSM ou a terceiros, causado em virtude dos serviços executados, será de inteira responsabilidade da empresa contratada, devendo esta providenciar sua recuperação e/ou reposição.</w:t>
      </w:r>
    </w:p>
    <w:p w:rsidR="00000000" w:rsidDel="00000000" w:rsidP="00000000" w:rsidRDefault="00000000" w:rsidRPr="00000000" w14:paraId="0000002C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O prazo máximo de execução dos serviços é de 60 </w:t>
      </w: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(Sessenta) dias corridos.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O orçamento analítico deverá ser discriminado e deverá conter: descrição dos itens, quantidade, unidade, preço unitário (material, mão-de-obra, serviço), total do serviço, subtotal para cada item da planilha e valor total global da proposta.</w:t>
      </w:r>
      <w:r w:rsidDel="00000000" w:rsidR="00000000" w:rsidRPr="00000000">
        <w:rPr>
          <w:b w:val="1"/>
          <w:i w:val="1"/>
          <w:color w:val="000000"/>
          <w:sz w:val="20"/>
          <w:szCs w:val="20"/>
          <w:rtl w:val="0"/>
        </w:rPr>
        <w:t xml:space="preserve"> 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Os preços serão apresentados em duas casas decimais.</w:t>
      </w:r>
    </w:p>
    <w:p w:rsidR="00000000" w:rsidDel="00000000" w:rsidP="00000000" w:rsidRDefault="00000000" w:rsidRPr="00000000" w14:paraId="0000002E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Os serviços deverão ser orçados considerando os quantitativos informados na planilha orçamentária fornecida pela UFSM.</w:t>
      </w:r>
    </w:p>
    <w:p w:rsidR="00000000" w:rsidDel="00000000" w:rsidP="00000000" w:rsidRDefault="00000000" w:rsidRPr="00000000" w14:paraId="0000002F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O valor total de cada item da planilha corresponde a uma porcentagem do valor total da proposta e essa porcentagem pode ser definida como coeficiente de influência. Sempre que o coeficiente de influência superar em mais de 15% o correspondente na planilha da instituição, o excedente será pago somente na última parcela e ainda, se houver acréscimos de serviços (aditivos) do item em questão o mesmo será feito utilizando os valores previstos na planilha da instituição. </w:t>
      </w:r>
    </w:p>
    <w:p w:rsidR="00000000" w:rsidDel="00000000" w:rsidP="00000000" w:rsidRDefault="00000000" w:rsidRPr="00000000" w14:paraId="00000030">
      <w:pPr>
        <w:numPr>
          <w:ilvl w:val="3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i w:val="1"/>
          <w:color w:val="000000"/>
          <w:sz w:val="20"/>
          <w:szCs w:val="20"/>
          <w:rtl w:val="0"/>
        </w:rPr>
        <w:t xml:space="preserve">- Ex.: ci (instituição)= 0,20 (20%), ci (empresa)= 0,25 (25%) </w:t>
      </w:r>
      <w:r w:rsidDel="00000000" w:rsidR="00000000" w:rsidRPr="00000000">
        <w:rPr>
          <w:rFonts w:ascii="Noto Sans Symbols" w:cs="Noto Sans Symbols" w:eastAsia="Noto Sans Symbols" w:hAnsi="Noto Sans Symbols"/>
          <w:i w:val="1"/>
          <w:color w:val="000000"/>
          <w:sz w:val="20"/>
          <w:szCs w:val="20"/>
          <w:rtl w:val="0"/>
        </w:rPr>
        <w:t xml:space="preserve">🡪</w:t>
      </w:r>
      <w:r w:rsidDel="00000000" w:rsidR="00000000" w:rsidRPr="00000000">
        <w:rPr>
          <w:i w:val="1"/>
          <w:color w:val="000000"/>
          <w:sz w:val="20"/>
          <w:szCs w:val="20"/>
          <w:rtl w:val="0"/>
        </w:rPr>
        <w:t xml:space="preserve"> ci (instituição) + 15%= 0,20x1,15= 0,23 (23%), excedente= 0,25-0,23= 0,02 (2%) excedente/ci (empresa) = 2/25= 0,08, ou seja, 8% do valor do item somente será faturado na  última parcela.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O</w:t>
      </w: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 pagamento será MENSAL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 (exceto pagamento ordinário), conforme cronograma físico-financeiro a ser apresentado pela empresa contratada, e a planilha de medição deverá seguir o padrão apresentado no</w:t>
      </w: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 ANEXO 1.  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A medição dos serviços deverá ser executada no canteiro de obras, com a presença do Eng. Fiscal e do Eng. Responsável pela obra.</w:t>
      </w:r>
    </w:p>
    <w:p w:rsidR="00000000" w:rsidDel="00000000" w:rsidP="00000000" w:rsidRDefault="00000000" w:rsidRPr="00000000" w14:paraId="00000032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 não poderá emitir o último boletim de medição e fatura da obra, enquanto todos os serviços da planilha orçamentária e especificações técnicas não estiverem plenamente concluídos e entregues em perfeitas condições de execução, uso e funcionamento.</w:t>
      </w:r>
    </w:p>
    <w:p w:rsidR="00000000" w:rsidDel="00000000" w:rsidP="00000000" w:rsidRDefault="00000000" w:rsidRPr="00000000" w14:paraId="00000033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Vigilância e Segurança de Obras: não será permitido alojamento de funcionários no local da obra, sendo que serão permitidos apenas no máximo DOIS vigilantes (rondas) por obra, pertencentes ao quadro de funcionários da empresa.</w:t>
      </w:r>
    </w:p>
    <w:p w:rsidR="00000000" w:rsidDel="00000000" w:rsidP="00000000" w:rsidRDefault="00000000" w:rsidRPr="00000000" w14:paraId="00000034">
      <w:pPr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VISITA TÉCNICA: Para participar do processo licitatório a empresa deverá realizar uma visita ao local onde será executado o objeto da licitação, por meio de seu representante, Engenheiro ou Arquiteto, para que possa ser esclarecido qualquer tipo de dúvida relativa aos projetos, às especificações técnicas e aos quantitativos da planilha orçamentária. A visita será acompanhada por Engenheiro ou Arquiteto integrante do quadro técnico da UFSM, em horário de expediente da instituição. Posteriormente a empresa receberá a "Declaração de Visita Técnica" emitida por servidor da Pró-Reitoria de Infraestrutura. Essa declaração deverá fazer parte da documentação que será apresentada para habilitação.</w:t>
      </w:r>
    </w:p>
    <w:p w:rsidR="00000000" w:rsidDel="00000000" w:rsidP="00000000" w:rsidRDefault="00000000" w:rsidRPr="00000000" w14:paraId="0000003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b w:val="1"/>
          <w:sz w:val="20"/>
          <w:szCs w:val="20"/>
        </w:rPr>
      </w:pP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ESPECIFICAÇÃO DOS SERVIÇOS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b w:val="1"/>
          <w:color w:val="000000"/>
          <w:sz w:val="20"/>
          <w:szCs w:val="20"/>
        </w:rPr>
      </w:pP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 SERVIÇOS PRELIMINARES / TÉCNICOS</w:t>
      </w:r>
    </w:p>
    <w:p w:rsidR="00000000" w:rsidDel="00000000" w:rsidP="00000000" w:rsidRDefault="00000000" w:rsidRPr="00000000" w14:paraId="0000003A">
      <w:pPr>
        <w:ind w:left="0" w:hanging="2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r w:rsidDel="00000000" w:rsidR="00000000" w:rsidRPr="00000000">
        <w:rPr>
          <w:i w:val="1"/>
          <w:color w:val="000000"/>
          <w:sz w:val="20"/>
          <w:szCs w:val="20"/>
          <w:u w:val="single"/>
          <w:rtl w:val="0"/>
        </w:rPr>
        <w:t xml:space="preserve">Encarregado geral de obras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Este profissional deverá gerenciar, </w:t>
      </w:r>
      <w:r w:rsidDel="00000000" w:rsidR="00000000" w:rsidRPr="00000000">
        <w:rPr>
          <w:color w:val="000000"/>
          <w:sz w:val="20"/>
          <w:szCs w:val="20"/>
          <w:highlight w:val="white"/>
          <w:rtl w:val="0"/>
        </w:rPr>
        <w:t xml:space="preserve">fiscalizar e supervisionar o andamento dos trabalhos no canteiro de obras, desde seu início até a conclusão da mesma.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 As equipes de mão de obra estarão sob seu comando. </w:t>
      </w:r>
      <w:r w:rsidDel="00000000" w:rsidR="00000000" w:rsidRPr="00000000">
        <w:rPr>
          <w:color w:val="000000"/>
          <w:sz w:val="20"/>
          <w:szCs w:val="20"/>
          <w:highlight w:val="white"/>
          <w:rtl w:val="0"/>
        </w:rPr>
        <w:t xml:space="preserve">É necessário que o encarregado de obras saiba ler projetos, orientar a mão de obra e zelar pela segurança de todos e da obra.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 Deverá permanecer na obra durante toda a jornada, sem afastamento do local de trabalho. </w:t>
      </w:r>
    </w:p>
    <w:p w:rsidR="00000000" w:rsidDel="00000000" w:rsidP="00000000" w:rsidRDefault="00000000" w:rsidRPr="00000000" w14:paraId="0000003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O pagamento/medição deste item só será feito em parcelas iguais divididas pelo prazo da obra, sendo que a parcela só será medida se os demais itens do cronograma físico financeiro do mês em questão estiverem concluídas e aceitas pela fiscalização, ou seja, a empresa só deverá medir este item se alcançar o valor indicado no cronograma físico financeiro do mês em questão.</w:t>
      </w:r>
    </w:p>
    <w:p w:rsidR="00000000" w:rsidDel="00000000" w:rsidP="00000000" w:rsidRDefault="00000000" w:rsidRPr="00000000" w14:paraId="0000003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1"/>
        <w:numPr>
          <w:ilvl w:val="2"/>
          <w:numId w:val="2"/>
        </w:numPr>
        <w:pBdr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r w:rsidDel="00000000" w:rsidR="00000000" w:rsidRPr="00000000">
        <w:rPr>
          <w:i w:val="1"/>
          <w:color w:val="000000"/>
          <w:sz w:val="20"/>
          <w:szCs w:val="20"/>
          <w:u w:val="single"/>
          <w:rtl w:val="0"/>
        </w:rPr>
        <w:t xml:space="preserve">Placa de obra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ind w:left="0" w:hanging="2"/>
        <w:rPr/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 empresa contratada deverá fornecer Placa de Obra, conforme planta de detalhe do </w:t>
      </w: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ANEXO 2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. A placa deverá ser construída com chapas metálicas galvanizadas n° 24 e estrutura metálica composta por tubos de metalon 20 x 50 mm, parede 1,5 mm. Receberão uma demão de fundo anticorrosivo e no mínimo três demãos de tinta esmalte sintético da Suvinil ou equivalente nas cores definidas pelo manual. Os adesivos deverão ser de alta resistência. O tamanho da placa será 180 x 120 cm. A placa será colocada em local visível e sustentada por estrutura de madeira.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r w:rsidDel="00000000" w:rsidR="00000000" w:rsidRPr="00000000">
        <w:rPr>
          <w:i w:val="1"/>
          <w:color w:val="000000"/>
          <w:sz w:val="20"/>
          <w:szCs w:val="20"/>
          <w:u w:val="single"/>
          <w:rtl w:val="0"/>
        </w:rPr>
        <w:t xml:space="preserve">Corte em alvenaria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De forma a permitir que as pingadeiras de chapa de aço galvanizado sejam embutidas nas paredes, conforme descrito no item 3.2.3, o reboco deverá ser cortado com disco de corte, de acordo com as dimensões necessárias</w:t>
      </w:r>
      <w:r w:rsidDel="00000000" w:rsidR="00000000" w:rsidRPr="00000000">
        <w:rPr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44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1"/>
        <w:numPr>
          <w:ilvl w:val="2"/>
          <w:numId w:val="2"/>
        </w:numPr>
        <w:ind w:left="0" w:hanging="2"/>
        <w:jc w:val="both"/>
        <w:rPr>
          <w:sz w:val="20"/>
          <w:szCs w:val="20"/>
          <w:u w:val="single"/>
        </w:rPr>
      </w:pPr>
      <w:r w:rsidDel="00000000" w:rsidR="00000000" w:rsidRPr="00000000">
        <w:rPr>
          <w:i w:val="1"/>
          <w:sz w:val="20"/>
          <w:szCs w:val="20"/>
          <w:u w:val="single"/>
          <w:rtl w:val="0"/>
        </w:rPr>
        <w:t xml:space="preserve">Remoção de pintura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Internamente, deverá ser removida a camada de tinta, principalmente naqueles locais onde esta encontra-se descascando, de forma a obter um substrato com capacidade de aderência adequada à nova pintura.</w:t>
      </w:r>
    </w:p>
    <w:p w:rsidR="00000000" w:rsidDel="00000000" w:rsidP="00000000" w:rsidRDefault="00000000" w:rsidRPr="00000000" w14:paraId="0000004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r w:rsidDel="00000000" w:rsidR="00000000" w:rsidRPr="00000000">
        <w:rPr>
          <w:i w:val="1"/>
          <w:color w:val="000000"/>
          <w:sz w:val="20"/>
          <w:szCs w:val="20"/>
          <w:u w:val="single"/>
          <w:rtl w:val="0"/>
        </w:rPr>
        <w:t xml:space="preserve">Lixamento de paredes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As paredes e estruturas externas, antes de receber a nova pintura, deverão ser lixadas e limpas, para eliminar locais onde a nova pintura possa ter a aderência prejudicada.</w:t>
      </w:r>
    </w:p>
    <w:p w:rsidR="00000000" w:rsidDel="00000000" w:rsidP="00000000" w:rsidRDefault="00000000" w:rsidRPr="00000000" w14:paraId="0000004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r w:rsidDel="00000000" w:rsidR="00000000" w:rsidRPr="00000000">
        <w:rPr>
          <w:i w:val="1"/>
          <w:color w:val="000000"/>
          <w:sz w:val="20"/>
          <w:szCs w:val="20"/>
          <w:u w:val="single"/>
          <w:rtl w:val="0"/>
        </w:rPr>
        <w:t xml:space="preserve">Transporte de entulhos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Todo o entulho gerado na demolição do piso e durante a execução da obra, deverá ser destinado a um local apropriado, através do uso de contêineres metálicos, ficando o pagamento deste item, condicionado à apresentação, por parte da empresa, dos devidos comprovantes de transporte e destinação dos resíduos.</w:t>
      </w:r>
    </w:p>
    <w:p w:rsidR="00000000" w:rsidDel="00000000" w:rsidP="00000000" w:rsidRDefault="00000000" w:rsidRPr="00000000" w14:paraId="0000004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keepNext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b w:val="1"/>
          <w:color w:val="000000"/>
          <w:sz w:val="20"/>
          <w:szCs w:val="20"/>
        </w:rPr>
      </w:pP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REVESTIMENTOS</w:t>
      </w:r>
    </w:p>
    <w:p w:rsidR="00000000" w:rsidDel="00000000" w:rsidP="00000000" w:rsidRDefault="00000000" w:rsidRPr="00000000" w14:paraId="0000004F">
      <w:pPr>
        <w:keepNext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r w:rsidDel="00000000" w:rsidR="00000000" w:rsidRPr="00000000">
        <w:rPr>
          <w:i w:val="1"/>
          <w:color w:val="000000"/>
          <w:sz w:val="20"/>
          <w:szCs w:val="20"/>
          <w:u w:val="single"/>
          <w:rtl w:val="0"/>
        </w:rPr>
        <w:t xml:space="preserve">Reparos em trincas e rachaduras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Todas as trincas e rachaduras das fachadas, deverão ser primeiramente tratadas, com o  uso de impermeabilizantes acrílicos, com o objetivo de eliminar pontos de infiltração de umidade</w:t>
      </w:r>
    </w:p>
    <w:p w:rsidR="00000000" w:rsidDel="00000000" w:rsidP="00000000" w:rsidRDefault="00000000" w:rsidRPr="00000000" w14:paraId="00000052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r w:rsidDel="00000000" w:rsidR="00000000" w:rsidRPr="00000000">
        <w:rPr>
          <w:color w:val="000000"/>
          <w:sz w:val="20"/>
          <w:szCs w:val="20"/>
          <w:u w:val="single"/>
          <w:rtl w:val="0"/>
        </w:rPr>
        <w:t xml:space="preserve">Vedação de esquadrias metálicas com silicone</w:t>
      </w:r>
    </w:p>
    <w:p w:rsidR="00000000" w:rsidDel="00000000" w:rsidP="00000000" w:rsidRDefault="00000000" w:rsidRPr="00000000" w14:paraId="00000054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Em todo o perímetro de </w:t>
      </w:r>
      <w:r w:rsidDel="00000000" w:rsidR="00000000" w:rsidRPr="00000000">
        <w:rPr>
          <w:sz w:val="20"/>
          <w:szCs w:val="20"/>
          <w:u w:val="single"/>
          <w:rtl w:val="0"/>
        </w:rPr>
        <w:t xml:space="preserve">TODAS AS JANELAS</w:t>
      </w:r>
      <w:r w:rsidDel="00000000" w:rsidR="00000000" w:rsidRPr="00000000">
        <w:rPr>
          <w:sz w:val="20"/>
          <w:szCs w:val="20"/>
          <w:rtl w:val="0"/>
        </w:rPr>
        <w:t xml:space="preserve">, em seu lado externo e no encontro da esquadria com a alvenaria, será aplicado selante adesivo à base de poliuretano (PU 40), em quantidade suficiente para vedar completamente o vão. Também, sobre as pingadeiras de chapa de aço galvanizado, descrito no item 3.2.3, deverá ser aplicado o mesmo selante, de forma a vedar o encontro entre a chapa e a alvenaria. Deverão ser tomadas as providências necessárias, no intuito de promover um acabamento adequado do material..</w:t>
      </w:r>
    </w:p>
    <w:p w:rsidR="00000000" w:rsidDel="00000000" w:rsidP="00000000" w:rsidRDefault="00000000" w:rsidRPr="00000000" w14:paraId="00000055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r w:rsidDel="00000000" w:rsidR="00000000" w:rsidRPr="00000000">
        <w:rPr>
          <w:i w:val="1"/>
          <w:color w:val="000000"/>
          <w:sz w:val="20"/>
          <w:szCs w:val="20"/>
          <w:u w:val="single"/>
          <w:rtl w:val="0"/>
        </w:rPr>
        <w:t xml:space="preserve">Pingadeiras em chapa de aço galvanizada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Nos locais indicados em projeto, serão instaladas chapas de aço galvanizado, com o objetivo de funcionar como pingadeiras, eliminando as águas de chuva das paredes da fachada. Estas pingadeiras deverão ser embutidas no reboco, no mínimo 5 cm, ficando com uma largura de, no mínimo 20 cm para fora, conforme detalhamento de projeto. De forma a promover uma perfeita estanqueidade, no encontro entre a chapa e a alvenaria, deverá ser aplicada uma camada de poliuretano (PU 40).</w:t>
      </w:r>
    </w:p>
    <w:p w:rsidR="00000000" w:rsidDel="00000000" w:rsidP="00000000" w:rsidRDefault="00000000" w:rsidRPr="00000000" w14:paraId="00000058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r w:rsidDel="00000000" w:rsidR="00000000" w:rsidRPr="00000000">
        <w:rPr>
          <w:i w:val="1"/>
          <w:color w:val="000000"/>
          <w:sz w:val="20"/>
          <w:szCs w:val="20"/>
          <w:u w:val="single"/>
          <w:rtl w:val="0"/>
        </w:rPr>
        <w:t xml:space="preserve">Reboco externo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Após a cura do emboço (mínimo 7 dias), será executado o reboco (massa fina) em paredes, com </w:t>
      </w:r>
      <w:r w:rsidDel="00000000" w:rsidR="00000000" w:rsidRPr="00000000">
        <w:rPr>
          <w:b w:val="1"/>
          <w:sz w:val="20"/>
          <w:szCs w:val="20"/>
          <w:rtl w:val="0"/>
        </w:rPr>
        <w:t xml:space="preserve">argamassa industrializada </w:t>
      </w:r>
      <w:r w:rsidDel="00000000" w:rsidR="00000000" w:rsidRPr="00000000">
        <w:rPr>
          <w:sz w:val="20"/>
          <w:szCs w:val="20"/>
          <w:rtl w:val="0"/>
        </w:rPr>
        <w:t xml:space="preserve">específica para tal, e</w:t>
      </w:r>
      <w:r w:rsidDel="00000000" w:rsidR="00000000" w:rsidRPr="00000000">
        <w:rPr>
          <w:b w:val="1"/>
          <w:sz w:val="20"/>
          <w:szCs w:val="20"/>
          <w:rtl w:val="0"/>
        </w:rPr>
        <w:t xml:space="preserve"> </w:t>
      </w:r>
      <w:r w:rsidDel="00000000" w:rsidR="00000000" w:rsidRPr="00000000">
        <w:rPr>
          <w:sz w:val="20"/>
          <w:szCs w:val="20"/>
          <w:rtl w:val="0"/>
        </w:rPr>
        <w:t xml:space="preserve">espessura de 0,5 mm. O mesmo deverá ser desempenado com desempenadeira plástica, de forma a obter uma superfície lisa e sem ondulações</w:t>
      </w:r>
    </w:p>
    <w:p w:rsidR="00000000" w:rsidDel="00000000" w:rsidP="00000000" w:rsidRDefault="00000000" w:rsidRPr="00000000" w14:paraId="0000005B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b w:val="1"/>
          <w:color w:val="000000"/>
          <w:sz w:val="20"/>
          <w:szCs w:val="20"/>
        </w:rPr>
      </w:pPr>
      <w:r w:rsidDel="00000000" w:rsidR="00000000" w:rsidRPr="00000000">
        <w:rPr>
          <w:b w:val="1"/>
          <w:color w:val="000000"/>
          <w:sz w:val="20"/>
          <w:szCs w:val="20"/>
          <w:rtl w:val="0"/>
        </w:rPr>
        <w:t xml:space="preserve">PINTURAS</w:t>
      </w:r>
    </w:p>
    <w:p w:rsidR="00000000" w:rsidDel="00000000" w:rsidP="00000000" w:rsidRDefault="00000000" w:rsidRPr="00000000" w14:paraId="0000005D">
      <w:pPr>
        <w:ind w:left="0" w:hanging="2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1"/>
        <w:keepLines w:val="0"/>
        <w:widowControl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230" w:right="0" w:hanging="379.00000000000006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1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  <w:rtl w:val="0"/>
        </w:rPr>
        <w:t xml:space="preserve">Selador acrílico flexível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Após o preparo das superfícies externas, conforme descrito nos itens anteriores, as paredes receberão o SELADOR FLEXÍVEL, produto que forma uma película flexível, evitando que as fissuras reapareçam. </w:t>
      </w:r>
    </w:p>
    <w:p w:rsidR="00000000" w:rsidDel="00000000" w:rsidP="00000000" w:rsidRDefault="00000000" w:rsidRPr="00000000" w14:paraId="00000060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1"/>
        <w:keepLines w:val="0"/>
        <w:widowControl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230" w:right="0" w:hanging="379.00000000000006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1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  <w:rtl w:val="0"/>
        </w:rPr>
        <w:t xml:space="preserve">Pintura  externa com tinta acrílica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Paredes e estruturas externas deverão receber, no mínimo, duas demãos de tinta Acrílica acetinada Suvinil ou equivalente (linha premium).</w:t>
      </w:r>
    </w:p>
    <w:p w:rsidR="00000000" w:rsidDel="00000000" w:rsidP="00000000" w:rsidRDefault="00000000" w:rsidRPr="00000000" w14:paraId="00000063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1"/>
        <w:keepLines w:val="0"/>
        <w:widowControl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230" w:right="0" w:hanging="379.00000000000006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1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  <w:rtl w:val="0"/>
        </w:rPr>
        <w:t xml:space="preserve">Pintura  interna com tinta acrílica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Paredes e estruturas externas deverão receber, no mínimo, duas demãos de tinta Acrílica acetinada Suvinil ou equivalente (linha premium).</w:t>
      </w:r>
    </w:p>
    <w:p w:rsidR="00000000" w:rsidDel="00000000" w:rsidP="00000000" w:rsidRDefault="00000000" w:rsidRPr="00000000" w14:paraId="00000066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keepNext w:val="1"/>
        <w:keepLines w:val="0"/>
        <w:widowControl w:val="1"/>
        <w:numPr>
          <w:ilvl w:val="2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230" w:right="0" w:hanging="379.00000000000006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1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  <w:rtl w:val="0"/>
        </w:rPr>
        <w:t xml:space="preserve">Pintura esmalte sobre metal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ind w:left="0" w:hanging="2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Todas as esquadrias metálicas, guarda-corpos e corrimãos, receberão, no mínimo, duas demãos de tinta Esmalte Sintético alto brilho, da Suvinil ou equivalente (linha premium), na(s) cor(es) a ser definidas pela fiscalização.</w:t>
      </w:r>
    </w:p>
    <w:bookmarkStart w:colFirst="0" w:colLast="0" w:name="bookmark=id.gjdgxs" w:id="0"/>
    <w:bookmarkEnd w:id="0"/>
    <w:p w:rsidR="00000000" w:rsidDel="00000000" w:rsidP="00000000" w:rsidRDefault="00000000" w:rsidRPr="00000000" w14:paraId="00000069">
      <w:pPr>
        <w:spacing w:line="240" w:lineRule="auto"/>
        <w:ind w:left="0" w:firstLine="0"/>
        <w:rPr>
          <w:b w:val="1"/>
          <w:i w:val="1"/>
          <w:color w:val="000000"/>
          <w:sz w:val="22"/>
          <w:szCs w:val="2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426"/>
        </w:tabs>
        <w:spacing w:before="120" w:line="240" w:lineRule="auto"/>
        <w:ind w:left="0" w:hanging="2"/>
        <w:jc w:val="both"/>
        <w:rPr>
          <w:color w:val="000000"/>
          <w:sz w:val="22"/>
          <w:szCs w:val="22"/>
        </w:rPr>
      </w:pPr>
      <w:r w:rsidDel="00000000" w:rsidR="00000000" w:rsidRPr="00000000">
        <w:rPr>
          <w:b w:val="1"/>
          <w:i w:val="1"/>
          <w:color w:val="000000"/>
          <w:sz w:val="22"/>
          <w:szCs w:val="22"/>
          <w:rtl w:val="0"/>
        </w:rPr>
        <w:t xml:space="preserve">ANEXO 1  -  MODELO BOLETIM DE MEDIÇÃO</w:t>
      </w:r>
      <w:r w:rsidDel="00000000" w:rsidR="00000000" w:rsidRPr="00000000">
        <w:rPr>
          <w:rtl w:val="0"/>
        </w:rPr>
      </w:r>
    </w:p>
    <w:tbl>
      <w:tblPr>
        <w:tblStyle w:val="Table1"/>
        <w:tblW w:w="8867.0" w:type="dxa"/>
        <w:jc w:val="center"/>
        <w:tblLayout w:type="fixed"/>
        <w:tblLook w:val="0000"/>
      </w:tblPr>
      <w:tblGrid>
        <w:gridCol w:w="480"/>
        <w:gridCol w:w="1748"/>
        <w:gridCol w:w="150"/>
        <w:gridCol w:w="927"/>
        <w:gridCol w:w="1028"/>
        <w:gridCol w:w="852"/>
        <w:gridCol w:w="1046"/>
        <w:gridCol w:w="779"/>
        <w:gridCol w:w="987"/>
        <w:gridCol w:w="870"/>
        <w:tblGridChange w:id="0">
          <w:tblGrid>
            <w:gridCol w:w="480"/>
            <w:gridCol w:w="1748"/>
            <w:gridCol w:w="150"/>
            <w:gridCol w:w="927"/>
            <w:gridCol w:w="1028"/>
            <w:gridCol w:w="852"/>
            <w:gridCol w:w="1046"/>
            <w:gridCol w:w="779"/>
            <w:gridCol w:w="987"/>
            <w:gridCol w:w="870"/>
          </w:tblGrid>
        </w:tblGridChange>
      </w:tblGrid>
      <w:tr>
        <w:trPr>
          <w:cantSplit w:val="0"/>
          <w:trHeight w:val="375" w:hRule="atLeast"/>
          <w:tblHeader w:val="0"/>
        </w:trPr>
        <w:tc>
          <w:tcPr>
            <w:gridSpan w:val="4"/>
            <w:tcBorders>
              <w:top w:color="000000" w:space="0" w:sz="8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6B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F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Boletim de Medição  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72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5">
            <w:pPr>
              <w:ind w:left="0" w:hanging="2"/>
              <w:jc w:val="both"/>
              <w:rPr>
                <w:rFonts w:ascii="ZapfHumnst BT" w:cs="ZapfHumnst BT" w:eastAsia="ZapfHumnst BT" w:hAnsi="ZapfHumnst BT"/>
                <w:sz w:val="20"/>
                <w:szCs w:val="20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sz w:val="20"/>
                <w:szCs w:val="20"/>
                <w:rtl w:val="0"/>
              </w:rPr>
              <w:t xml:space="preserve">Obra: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8">
            <w:pPr>
              <w:ind w:left="0" w:hanging="2"/>
              <w:jc w:val="both"/>
              <w:rPr>
                <w:rFonts w:ascii="ZapfHumnst BT" w:cs="ZapfHumnst BT" w:eastAsia="ZapfHumnst BT" w:hAnsi="ZapfHumnst BT"/>
                <w:sz w:val="20"/>
                <w:szCs w:val="20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sz w:val="20"/>
                <w:szCs w:val="20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9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A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B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C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D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7E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7F">
            <w:pPr>
              <w:ind w:left="0" w:hanging="2"/>
              <w:jc w:val="both"/>
              <w:rPr>
                <w:rFonts w:ascii="ZapfHumnst BT" w:cs="ZapfHumnst BT" w:eastAsia="ZapfHumnst BT" w:hAnsi="ZapfHumnst BT"/>
                <w:sz w:val="20"/>
                <w:szCs w:val="20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sz w:val="20"/>
                <w:szCs w:val="20"/>
                <w:rtl w:val="0"/>
              </w:rPr>
              <w:t xml:space="preserve">Empresa: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2">
            <w:pPr>
              <w:ind w:left="0" w:hanging="2"/>
              <w:jc w:val="both"/>
              <w:rPr>
                <w:rFonts w:ascii="ZapfHumnst BT" w:cs="ZapfHumnst BT" w:eastAsia="ZapfHumnst BT" w:hAnsi="ZapfHumnst BT"/>
                <w:sz w:val="20"/>
                <w:szCs w:val="20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sz w:val="20"/>
                <w:szCs w:val="20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3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4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5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6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7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88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9">
            <w:pPr>
              <w:ind w:left="0" w:hanging="2"/>
              <w:jc w:val="both"/>
              <w:rPr>
                <w:rFonts w:ascii="ZapfHumnst BT" w:cs="ZapfHumnst BT" w:eastAsia="ZapfHumnst BT" w:hAnsi="ZapfHumnst BT"/>
                <w:sz w:val="20"/>
                <w:szCs w:val="20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sz w:val="20"/>
                <w:szCs w:val="20"/>
                <w:rtl w:val="0"/>
              </w:rPr>
              <w:t xml:space="preserve">Contrato: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C">
            <w:pPr>
              <w:ind w:left="0" w:hanging="2"/>
              <w:jc w:val="both"/>
              <w:rPr>
                <w:rFonts w:ascii="ZapfHumnst BT" w:cs="ZapfHumnst BT" w:eastAsia="ZapfHumnst BT" w:hAnsi="ZapfHumnst BT"/>
                <w:sz w:val="20"/>
                <w:szCs w:val="20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sz w:val="20"/>
                <w:szCs w:val="20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D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E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8F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0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1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92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3">
            <w:pPr>
              <w:ind w:left="0" w:hanging="2"/>
              <w:jc w:val="both"/>
              <w:rPr>
                <w:rFonts w:ascii="ZapfHumnst BT" w:cs="ZapfHumnst BT" w:eastAsia="ZapfHumnst BT" w:hAnsi="ZapfHumnst BT"/>
                <w:sz w:val="20"/>
                <w:szCs w:val="20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sz w:val="20"/>
                <w:szCs w:val="20"/>
                <w:rtl w:val="0"/>
              </w:rPr>
              <w:t xml:space="preserve">Período: 01/04/10 a 30/04/10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7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8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9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A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9B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vAlign w:val="center"/>
          </w:tcPr>
          <w:p w:rsidR="00000000" w:rsidDel="00000000" w:rsidP="00000000" w:rsidRDefault="00000000" w:rsidRPr="00000000" w14:paraId="0000009C">
            <w:pPr>
              <w:ind w:left="0" w:hanging="2"/>
              <w:jc w:val="both"/>
              <w:rPr>
                <w:rFonts w:ascii="ZapfHumnst BT" w:cs="ZapfHumnst BT" w:eastAsia="ZapfHumnst BT" w:hAnsi="ZapfHumnst BT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i w:val="1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9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9E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DESCRIÇÃO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A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Valor orçado (R$)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eaf1dd" w:val="clear"/>
          </w:tcPr>
          <w:p w:rsidR="00000000" w:rsidDel="00000000" w:rsidP="00000000" w:rsidRDefault="00000000" w:rsidRPr="00000000" w14:paraId="000000A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Acumulado Anterior</w:t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eaf1dd" w:val="clear"/>
          </w:tcPr>
          <w:p w:rsidR="00000000" w:rsidDel="00000000" w:rsidP="00000000" w:rsidRDefault="00000000" w:rsidRPr="00000000" w14:paraId="000000A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Medição Atual</w:t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eaf1dd" w:val="clear"/>
          </w:tcPr>
          <w:p w:rsidR="00000000" w:rsidDel="00000000" w:rsidP="00000000" w:rsidRDefault="00000000" w:rsidRPr="00000000" w14:paraId="000000A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Acumulado Total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A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A8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A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AB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8"/>
                <w:szCs w:val="18"/>
                <w:rtl w:val="0"/>
              </w:rPr>
              <w:t xml:space="preserve">Período: 01/03  a 30/03/10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AD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8"/>
                <w:szCs w:val="18"/>
                <w:rtl w:val="0"/>
              </w:rPr>
              <w:t xml:space="preserve">Período: 01/04 a 30/04/10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AF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8"/>
                <w:szCs w:val="18"/>
                <w:rtl w:val="0"/>
              </w:rPr>
              <w:t xml:space="preserve">Período: 01/12/09 a 30/04/10</w:t>
            </w:r>
          </w:p>
        </w:tc>
      </w:tr>
      <w:tr>
        <w:trPr>
          <w:cantSplit w:val="0"/>
          <w:trHeight w:val="780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B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B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B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Medição Acumulada anterior (%)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B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Total do item (R$)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Medição Atual (%)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B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Total do Item (R$)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Medição Acumulada total (%)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B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Total do Item (R$)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C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SERVIÇOS PRELIMINARES / TECNICOS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E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C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1.1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6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Orçamento, cronograma e visita técnica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8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90,00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100%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90,00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100%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C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90,00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1.2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0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Projeto de fundações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2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140,00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75%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105,00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35,00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100%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D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140,00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DA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TOTAL DO ITEM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0DC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1.740,00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80,6%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1.403,00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0D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10,7%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0E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186,00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91,3%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E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1.589,00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4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6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E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E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MOVIMENTO DE TERRA / DEMOLIÇÕES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0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F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2.1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8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Limpeza do terreno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A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645,00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32,25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95%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612,75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100%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0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645,00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2.2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2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Aterro compactado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4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546,75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27,34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95%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519,41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100%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0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546,75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2.3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C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Escavação Manual solo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E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231,56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63%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145,88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63%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1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145,88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6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TOTAL DO ITEM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18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1.423,31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4,2%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59,59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1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89,8%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1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1.278,05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94,0%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1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1.337,63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0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2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2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A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INFRA ESTRUTURA / FUNDAÇÕES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C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3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3.1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4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Estaca escavada, diâm=300mm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6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2.673,84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133,69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80%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2.139,07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85%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3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2.272,76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0" w:val="nil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3.2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E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Vigas de fundação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0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5.647,75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1.411,94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45%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2.541,49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70%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4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3.953,43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8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TOTAL DO ITEM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4A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8.321,59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18,6%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1.545,63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4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56,2%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4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4.680,56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74,8%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5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6.226,19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2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4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5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C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SUPERESTRUTURA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E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6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4.1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6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Vigas de conc.armado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8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7.239,60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144,79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19%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1.375,52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21%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6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1.520,32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4.2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0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Pre laje comum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2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12.448,00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622,40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7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622,40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A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TOTAL DO ITEM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7C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19.687,60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3,9%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767,19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7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7,0%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8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1.375,52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10,9%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8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2.142,72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4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6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8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E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ALVENARIA / VEDAÇÃO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0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9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5.1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8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Alvenaria de bloco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A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18.852,33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942,62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942,62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10%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A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1.885,23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5.2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2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Contra verga sob janelas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4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550,20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11,00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A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11,00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5.3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C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Vergas sobre portas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E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465,76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23,29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4,66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6%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B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27,95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6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TOTAL DO ITEM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B8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19.868,29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0,6%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119,18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BB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4,8%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eaf1dd" w:val="clear"/>
          </w:tcPr>
          <w:p w:rsidR="00000000" w:rsidDel="00000000" w:rsidP="00000000" w:rsidRDefault="00000000" w:rsidRPr="00000000" w14:paraId="000001B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958,28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5,4%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B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1.077,45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0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C2">
            <w:pPr>
              <w:ind w:left="0" w:hanging="2"/>
              <w:jc w:val="both"/>
              <w:rPr>
                <w:rFonts w:ascii="Arial Narrow" w:cs="Arial Narrow" w:eastAsia="Arial Narrow" w:hAnsi="Arial Narrow"/>
                <w:sz w:val="16"/>
                <w:szCs w:val="16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16"/>
                <w:szCs w:val="16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3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4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5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C6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7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1C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C9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gridSpan w:val="2"/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dbe5f1" w:val="clear"/>
          </w:tcPr>
          <w:p w:rsidR="00000000" w:rsidDel="00000000" w:rsidP="00000000" w:rsidRDefault="00000000" w:rsidRPr="00000000" w14:paraId="000001CA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TOTAL GERAL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CC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51.040,79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C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7,6%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CE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3.894,58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dbe5f1" w:val="clear"/>
          </w:tcPr>
          <w:p w:rsidR="00000000" w:rsidDel="00000000" w:rsidP="00000000" w:rsidRDefault="00000000" w:rsidRPr="00000000" w14:paraId="000001CF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16,6%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dbe5f1" w:val="clear"/>
          </w:tcPr>
          <w:p w:rsidR="00000000" w:rsidDel="00000000" w:rsidP="00000000" w:rsidRDefault="00000000" w:rsidRPr="00000000" w14:paraId="000001D0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1"/>
                <w:sz w:val="20"/>
                <w:szCs w:val="20"/>
                <w:rtl w:val="0"/>
              </w:rPr>
              <w:t xml:space="preserve">8.478,41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D1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24,2%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ffffff" w:val="clear"/>
          </w:tcPr>
          <w:p w:rsidR="00000000" w:rsidDel="00000000" w:rsidP="00000000" w:rsidRDefault="00000000" w:rsidRPr="00000000" w14:paraId="000001D2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12.372,99</w:t>
            </w:r>
          </w:p>
        </w:tc>
      </w:tr>
      <w:tr>
        <w:trPr>
          <w:cantSplit w:val="0"/>
          <w:trHeight w:val="255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D3">
            <w:pPr>
              <w:ind w:left="0" w:hanging="2"/>
              <w:jc w:val="both"/>
              <w:rPr>
                <w:rFonts w:ascii="ZapfHumnst BT" w:cs="ZapfHumnst BT" w:eastAsia="ZapfHumnst BT" w:hAnsi="ZapfHumnst BT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9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D4">
            <w:pPr>
              <w:ind w:left="0" w:hanging="2"/>
              <w:jc w:val="both"/>
              <w:rPr>
                <w:rFonts w:ascii="ZapfHumnst BT" w:cs="ZapfHumnst BT" w:eastAsia="ZapfHumnst BT" w:hAnsi="ZapfHumnst BT"/>
                <w:sz w:val="20"/>
                <w:szCs w:val="20"/>
              </w:rPr>
            </w:pPr>
            <w:r w:rsidDel="00000000" w:rsidR="00000000" w:rsidRPr="00000000">
              <w:rPr>
                <w:rFonts w:ascii="ZapfHumnst BT" w:cs="ZapfHumnst BT" w:eastAsia="ZapfHumnst BT" w:hAnsi="ZapfHumnst BT"/>
                <w:sz w:val="20"/>
                <w:szCs w:val="20"/>
                <w:rtl w:val="0"/>
              </w:rPr>
              <w:t xml:space="preserve">Valor por extenso desta medição: oito mil quatrocentos e setenta e oito reais e quarenta e um centavos</w:t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DD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DE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18"/>
                <w:szCs w:val="18"/>
                <w:rtl w:val="0"/>
              </w:rPr>
              <w:t xml:space="preserve">Data: 06/05/10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0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1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2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3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4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5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6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4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7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8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Assinatura Eng da Empresa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B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C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D">
            <w:pPr>
              <w:ind w:left="0" w:hanging="2"/>
              <w:jc w:val="both"/>
              <w:rPr>
                <w:rFonts w:ascii="Arial Narrow" w:cs="Arial Narrow" w:eastAsia="Arial Narrow" w:hAnsi="Arial Narrow"/>
                <w:sz w:val="20"/>
                <w:szCs w:val="20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sz w:val="20"/>
                <w:szCs w:val="20"/>
                <w:rtl w:val="0"/>
              </w:rPr>
              <w:t xml:space="preserve">Assinatura Eng Fiscal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EF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center"/>
          </w:tcPr>
          <w:p w:rsidR="00000000" w:rsidDel="00000000" w:rsidP="00000000" w:rsidRDefault="00000000" w:rsidRPr="00000000" w14:paraId="000001F0">
            <w:pPr>
              <w:ind w:left="0" w:hanging="2"/>
              <w:jc w:val="both"/>
              <w:rPr>
                <w:rFonts w:ascii="Arial Narrow" w:cs="Arial Narrow" w:eastAsia="Arial Narrow" w:hAnsi="Arial Narrow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F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426"/>
        </w:tabs>
        <w:spacing w:before="120" w:line="240" w:lineRule="auto"/>
        <w:ind w:left="0" w:hanging="2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426"/>
        </w:tabs>
        <w:spacing w:before="120" w:line="240" w:lineRule="auto"/>
        <w:ind w:left="0" w:hanging="2"/>
        <w:jc w:val="both"/>
        <w:rPr>
          <w:color w:val="000000"/>
          <w:sz w:val="22"/>
          <w:szCs w:val="22"/>
        </w:rPr>
      </w:pPr>
      <w:r w:rsidDel="00000000" w:rsidR="00000000" w:rsidRPr="00000000">
        <w:rPr>
          <w:b w:val="1"/>
          <w:i w:val="1"/>
          <w:color w:val="000000"/>
          <w:sz w:val="22"/>
          <w:szCs w:val="22"/>
          <w:rtl w:val="0"/>
        </w:rPr>
        <w:t xml:space="preserve">ANEXO 2  - MODELO DE PLACA DE OBRA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426"/>
        </w:tabs>
        <w:spacing w:before="120" w:line="240" w:lineRule="auto"/>
        <w:ind w:left="0" w:hanging="2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426"/>
        </w:tabs>
        <w:spacing w:before="120" w:line="240" w:lineRule="auto"/>
        <w:ind w:left="0" w:hanging="2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426"/>
        </w:tabs>
        <w:spacing w:before="120" w:line="240" w:lineRule="auto"/>
        <w:ind w:left="0" w:hanging="2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426"/>
        </w:tabs>
        <w:spacing w:before="120" w:line="240" w:lineRule="auto"/>
        <w:ind w:left="0" w:hanging="2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</w:rPr>
        <w:drawing>
          <wp:inline distB="0" distT="0" distL="114300" distR="114300">
            <wp:extent cx="4874895" cy="6185535"/>
            <wp:effectExtent b="0" l="0" r="0" t="0"/>
            <wp:docPr id="1029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74895" cy="61855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7">
      <w:pPr>
        <w:ind w:left="0" w:hanging="2"/>
        <w:jc w:val="both"/>
        <w:rPr>
          <w:sz w:val="16"/>
          <w:szCs w:val="16"/>
        </w:rPr>
      </w:pPr>
      <w:r w:rsidDel="00000000" w:rsidR="00000000" w:rsidRPr="00000000">
        <w:rPr>
          <w:sz w:val="16"/>
          <w:szCs w:val="16"/>
          <w:rtl w:val="0"/>
        </w:rPr>
        <w:t xml:space="preserve">Figura 1: Modelo de placa de obra</w:t>
      </w:r>
    </w:p>
    <w:p w:rsidR="00000000" w:rsidDel="00000000" w:rsidP="00000000" w:rsidRDefault="00000000" w:rsidRPr="00000000" w14:paraId="000001F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426"/>
        </w:tabs>
        <w:spacing w:before="120" w:line="240" w:lineRule="auto"/>
        <w:ind w:left="0" w:hanging="2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426"/>
        </w:tabs>
        <w:spacing w:before="120" w:line="240" w:lineRule="auto"/>
        <w:ind w:left="0" w:hanging="2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426"/>
        </w:tabs>
        <w:spacing w:line="240" w:lineRule="auto"/>
        <w:ind w:left="0" w:hanging="2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sectPr>
      <w:footerReference r:id="rId9" w:type="default"/>
      <w:pgSz w:h="16840" w:w="11907" w:orient="portrait"/>
      <w:pgMar w:bottom="1134" w:top="1701" w:left="1418" w:right="992" w:header="567" w:footer="454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Times New Roman"/>
  <w:font w:name="Georgia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ZapfHumnst BT"/>
  <w:font w:name="Tahoma">
    <w:embedRegular w:fontKey="{00000000-0000-0000-0000-000000000000}" r:id="rId5" w:subsetted="0"/>
    <w:embedBold w:fontKey="{00000000-0000-0000-0000-000000000000}" r:id="rId6" w:subsetted="0"/>
  </w:font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F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419"/>
        <w:tab w:val="right" w:pos="8838"/>
      </w:tabs>
      <w:spacing w:line="240" w:lineRule="auto"/>
      <w:ind w:left="0" w:hanging="2"/>
      <w:jc w:val="center"/>
      <w:rPr>
        <w:rFonts w:ascii="ZapfHumnst BT" w:cs="ZapfHumnst BT" w:eastAsia="ZapfHumnst BT" w:hAnsi="ZapfHumnst BT"/>
        <w:color w:val="000000"/>
        <w:sz w:val="16"/>
        <w:szCs w:val="16"/>
      </w:rPr>
    </w:pPr>
    <w:r w:rsidDel="00000000" w:rsidR="00000000" w:rsidRPr="00000000">
      <w:rPr>
        <w:rFonts w:ascii="ZapfHumnst BT" w:cs="ZapfHumnst BT" w:eastAsia="ZapfHumnst BT" w:hAnsi="ZapfHumnst BT"/>
        <w:color w:val="000000"/>
        <w:sz w:val="16"/>
        <w:szCs w:val="16"/>
        <w:rtl w:val="0"/>
      </w:rPr>
      <w:t xml:space="preserve">UFSM – Pró Reitoria de Infraestrutura – Engº  Daniel - Ramal : (55) 3220- 8081  </w:t>
      <w:tab/>
    </w:r>
  </w:p>
  <w:p w:rsidR="00000000" w:rsidDel="00000000" w:rsidP="00000000" w:rsidRDefault="00000000" w:rsidRPr="00000000" w14:paraId="000001F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419"/>
        <w:tab w:val="right" w:pos="8838"/>
      </w:tabs>
      <w:spacing w:line="240" w:lineRule="auto"/>
      <w:ind w:left="0" w:hanging="2"/>
      <w:jc w:val="center"/>
      <w:rPr>
        <w:rFonts w:ascii="ZapfHumnst BT" w:cs="ZapfHumnst BT" w:eastAsia="ZapfHumnst BT" w:hAnsi="ZapfHumnst BT"/>
        <w:color w:val="000000"/>
        <w:sz w:val="16"/>
        <w:szCs w:val="16"/>
      </w:rPr>
    </w:pPr>
    <w:r w:rsidDel="00000000" w:rsidR="00000000" w:rsidRPr="00000000">
      <w:rPr>
        <w:rFonts w:ascii="ZapfHumnst BT" w:cs="ZapfHumnst BT" w:eastAsia="ZapfHumnst BT" w:hAnsi="ZapfHumnst BT"/>
        <w:color w:val="000000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ZapfHumnst BT" w:cs="ZapfHumnst BT" w:eastAsia="ZapfHumnst BT" w:hAnsi="ZapfHumnst BT"/>
        <w:color w:val="000000"/>
        <w:sz w:val="16"/>
        <w:szCs w:val="16"/>
        <w:rtl w:val="0"/>
      </w:rPr>
      <w:t xml:space="preserve">/</w:t>
    </w:r>
    <w:r w:rsidDel="00000000" w:rsidR="00000000" w:rsidRPr="00000000">
      <w:rPr>
        <w:rFonts w:ascii="ZapfHumnst BT" w:cs="ZapfHumnst BT" w:eastAsia="ZapfHumnst BT" w:hAnsi="ZapfHumnst BT"/>
        <w:color w:val="000000"/>
        <w:sz w:val="16"/>
        <w:szCs w:val="16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4.9999999999998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3744" w:hanging="1224.0000000000005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vertAlign w:val="baseline"/>
      </w:rPr>
    </w:lvl>
  </w:abstractNum>
  <w:abstractNum w:abstractNumId="2">
    <w:lvl w:ilvl="0">
      <w:start w:val="1"/>
      <w:numFmt w:val="decimal"/>
      <w:lvlText w:val="%1."/>
      <w:lvlJc w:val="left"/>
      <w:pPr>
        <w:ind w:left="360" w:hanging="360"/>
      </w:pPr>
      <w:rPr>
        <w:color w:val="ffffff"/>
        <w:highlight w:val="white"/>
        <w:vertAlign w:val="baseline"/>
      </w:rPr>
    </w:lvl>
    <w:lvl w:ilvl="1">
      <w:start w:val="1"/>
      <w:numFmt w:val="decimal"/>
      <w:lvlText w:val="%1.%2."/>
      <w:lvlJc w:val="left"/>
      <w:pPr>
        <w:ind w:left="792" w:firstLine="58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1230" w:hanging="379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4.9999999999998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3744" w:hanging="1224.0000000000005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vertAlign w:val="baseli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4"/>
        <w:szCs w:val="24"/>
        <w:lang w:val="pt-BR"/>
      </w:rPr>
    </w:rPrDefault>
    <w:pPrDefault>
      <w:pPr>
        <w:ind w:hanging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line="240" w:lineRule="auto"/>
      <w:ind w:left="0" w:hanging="1"/>
      <w:jc w:val="both"/>
    </w:pPr>
    <w:rPr>
      <w:b w:val="1"/>
      <w:sz w:val="22"/>
      <w:szCs w:val="22"/>
    </w:rPr>
  </w:style>
  <w:style w:type="paragraph" w:styleId="Heading2">
    <w:name w:val="heading 2"/>
    <w:basedOn w:val="Normal"/>
    <w:next w:val="Normal"/>
    <w:pPr>
      <w:keepNext w:val="1"/>
      <w:ind w:left="0" w:hanging="1"/>
    </w:pPr>
    <w:rPr>
      <w:b w:val="1"/>
      <w:sz w:val="20"/>
      <w:szCs w:val="20"/>
    </w:rPr>
  </w:style>
  <w:style w:type="paragraph" w:styleId="Heading3">
    <w:name w:val="heading 3"/>
    <w:basedOn w:val="Normal"/>
    <w:next w:val="Normal"/>
    <w:pPr>
      <w:keepNext w:val="1"/>
      <w:spacing w:before="240" w:lineRule="auto"/>
      <w:ind w:left="0" w:hanging="1"/>
    </w:pPr>
    <w:rPr>
      <w:b w:val="1"/>
      <w:sz w:val="20"/>
      <w:szCs w:val="20"/>
    </w:rPr>
  </w:style>
  <w:style w:type="paragraph" w:styleId="Heading4">
    <w:name w:val="heading 4"/>
    <w:basedOn w:val="Normal"/>
    <w:next w:val="Normal"/>
    <w:pPr>
      <w:keepNext w:val="1"/>
      <w:spacing w:before="120" w:lineRule="auto"/>
      <w:ind w:left="0" w:hanging="1"/>
    </w:pPr>
    <w:rPr>
      <w:b w:val="1"/>
      <w:sz w:val="20"/>
      <w:szCs w:val="20"/>
    </w:rPr>
  </w:style>
  <w:style w:type="paragraph" w:styleId="Heading5">
    <w:name w:val="heading 5"/>
    <w:basedOn w:val="Normal"/>
    <w:next w:val="Normal"/>
    <w:pPr>
      <w:keepNext w:val="1"/>
      <w:spacing w:before="180" w:lineRule="auto"/>
      <w:ind w:left="0" w:hanging="1"/>
      <w:jc w:val="center"/>
    </w:pPr>
    <w:rPr>
      <w:b w:val="1"/>
      <w:color w:val="000000"/>
      <w:sz w:val="28"/>
      <w:szCs w:val="28"/>
    </w:rPr>
  </w:style>
  <w:style w:type="paragraph" w:styleId="Heading6">
    <w:name w:val="heading 6"/>
    <w:basedOn w:val="Normal"/>
    <w:next w:val="Normal"/>
    <w:pPr>
      <w:spacing w:after="60" w:before="240" w:lineRule="auto"/>
      <w:ind w:left="0" w:hanging="1"/>
    </w:pPr>
    <w:rPr>
      <w:rFonts w:ascii="Calibri" w:cs="Calibri" w:eastAsia="Calibri" w:hAnsi="Calibri"/>
      <w:b w:val="1"/>
      <w:sz w:val="22"/>
      <w:szCs w:val="22"/>
    </w:rPr>
  </w:style>
  <w:style w:type="paragraph" w:styleId="Title">
    <w:name w:val="Title"/>
    <w:basedOn w:val="Normal"/>
    <w:next w:val="Normal"/>
    <w:pPr>
      <w:jc w:val="center"/>
    </w:pPr>
    <w:rPr>
      <w:rFonts w:ascii="Times New Roman" w:cs="Times New Roman" w:eastAsia="Times New Roman" w:hAnsi="Times New Roman"/>
      <w:sz w:val="40"/>
      <w:szCs w:val="40"/>
    </w:rPr>
  </w:style>
  <w:style w:type="paragraph" w:styleId="Normal" w:default="1">
    <w:name w:val="Normal"/>
    <w:qFormat w:val="1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</w:rPr>
  </w:style>
  <w:style w:type="paragraph" w:styleId="Ttulo1">
    <w:name w:val="heading 1"/>
    <w:basedOn w:val="Corpodetexto"/>
    <w:next w:val="Normal"/>
    <w:uiPriority w:val="9"/>
    <w:qFormat w:val="1"/>
    <w:pPr>
      <w:numPr>
        <w:numId w:val="4"/>
      </w:numPr>
      <w:spacing w:line="240" w:lineRule="auto"/>
      <w:ind w:left="-1" w:hanging="1"/>
    </w:pPr>
    <w:rPr>
      <w:b w:val="1"/>
      <w:sz w:val="22"/>
      <w:szCs w:val="22"/>
    </w:rPr>
  </w:style>
  <w:style w:type="paragraph" w:styleId="Ttulo2">
    <w:name w:val="heading 2"/>
    <w:basedOn w:val="Normal"/>
    <w:next w:val="Normal"/>
    <w:uiPriority w:val="9"/>
    <w:semiHidden w:val="1"/>
    <w:unhideWhenUsed w:val="1"/>
    <w:qFormat w:val="1"/>
    <w:pPr>
      <w:keepNext w:val="1"/>
      <w:numPr>
        <w:ilvl w:val="1"/>
        <w:numId w:val="4"/>
      </w:numPr>
      <w:ind w:left="-1" w:hanging="1"/>
      <w:outlineLvl w:val="1"/>
    </w:pPr>
    <w:rPr>
      <w:b w:val="1"/>
      <w:sz w:val="20"/>
    </w:rPr>
  </w:style>
  <w:style w:type="paragraph" w:styleId="Ttulo3">
    <w:name w:val="heading 3"/>
    <w:basedOn w:val="Normal"/>
    <w:next w:val="Normal"/>
    <w:uiPriority w:val="9"/>
    <w:semiHidden w:val="1"/>
    <w:unhideWhenUsed w:val="1"/>
    <w:qFormat w:val="1"/>
    <w:pPr>
      <w:keepNext w:val="1"/>
      <w:numPr>
        <w:ilvl w:val="2"/>
        <w:numId w:val="4"/>
      </w:numPr>
      <w:spacing w:before="240"/>
      <w:ind w:left="-1" w:hanging="1"/>
      <w:outlineLvl w:val="2"/>
    </w:pPr>
    <w:rPr>
      <w:b w:val="1"/>
      <w:sz w:val="20"/>
    </w:rPr>
  </w:style>
  <w:style w:type="paragraph" w:styleId="Ttulo4">
    <w:name w:val="heading 4"/>
    <w:basedOn w:val="Normal"/>
    <w:next w:val="Normal"/>
    <w:uiPriority w:val="9"/>
    <w:semiHidden w:val="1"/>
    <w:unhideWhenUsed w:val="1"/>
    <w:qFormat w:val="1"/>
    <w:pPr>
      <w:keepNext w:val="1"/>
      <w:numPr>
        <w:ilvl w:val="3"/>
        <w:numId w:val="4"/>
      </w:numPr>
      <w:spacing w:before="120"/>
      <w:ind w:left="-1" w:hanging="1"/>
      <w:outlineLvl w:val="3"/>
    </w:pPr>
    <w:rPr>
      <w:b w:val="1"/>
      <w:sz w:val="20"/>
    </w:rPr>
  </w:style>
  <w:style w:type="paragraph" w:styleId="Ttulo5">
    <w:name w:val="heading 5"/>
    <w:basedOn w:val="Normal"/>
    <w:next w:val="Normal"/>
    <w:uiPriority w:val="9"/>
    <w:semiHidden w:val="1"/>
    <w:unhideWhenUsed w:val="1"/>
    <w:qFormat w:val="1"/>
    <w:pPr>
      <w:keepNext w:val="1"/>
      <w:numPr>
        <w:ilvl w:val="4"/>
        <w:numId w:val="4"/>
      </w:numPr>
      <w:spacing w:before="180"/>
      <w:ind w:left="-1" w:hanging="1"/>
      <w:jc w:val="center"/>
      <w:outlineLvl w:val="4"/>
    </w:pPr>
    <w:rPr>
      <w:b w:val="1"/>
      <w:color w:val="000000"/>
      <w:sz w:val="28"/>
    </w:rPr>
  </w:style>
  <w:style w:type="paragraph" w:styleId="Ttulo6">
    <w:name w:val="heading 6"/>
    <w:basedOn w:val="Normal"/>
    <w:next w:val="Normal"/>
    <w:uiPriority w:val="9"/>
    <w:semiHidden w:val="1"/>
    <w:unhideWhenUsed w:val="1"/>
    <w:qFormat w:val="1"/>
    <w:pPr>
      <w:numPr>
        <w:ilvl w:val="5"/>
        <w:numId w:val="4"/>
      </w:numPr>
      <w:spacing w:after="60" w:before="240"/>
      <w:ind w:left="-1" w:hanging="1"/>
      <w:outlineLvl w:val="5"/>
    </w:pPr>
    <w:rPr>
      <w:rFonts w:ascii="Calibri" w:cs="Times New Roman" w:eastAsia="Times New Roman" w:hAnsi="Calibri"/>
      <w:b w:val="1"/>
      <w:bCs w:val="1"/>
      <w:sz w:val="22"/>
      <w:szCs w:val="22"/>
    </w:rPr>
  </w:style>
  <w:style w:type="paragraph" w:styleId="Ttulo7">
    <w:name w:val="heading 7"/>
    <w:basedOn w:val="Normal"/>
    <w:next w:val="Normal"/>
    <w:pPr>
      <w:numPr>
        <w:ilvl w:val="6"/>
        <w:numId w:val="4"/>
      </w:numPr>
      <w:spacing w:after="60" w:before="240"/>
      <w:ind w:left="-1" w:hanging="1"/>
      <w:outlineLvl w:val="6"/>
    </w:pPr>
    <w:rPr>
      <w:rFonts w:ascii="Calibri" w:cs="Times New Roman" w:eastAsia="Times New Roman" w:hAnsi="Calibri"/>
    </w:rPr>
  </w:style>
  <w:style w:type="paragraph" w:styleId="Ttulo8">
    <w:name w:val="heading 8"/>
    <w:basedOn w:val="Normal"/>
    <w:next w:val="Normal"/>
    <w:pPr>
      <w:numPr>
        <w:ilvl w:val="7"/>
        <w:numId w:val="4"/>
      </w:numPr>
      <w:spacing w:after="60" w:before="240"/>
      <w:ind w:left="-1" w:hanging="1"/>
      <w:outlineLvl w:val="7"/>
    </w:pPr>
    <w:rPr>
      <w:rFonts w:ascii="Calibri" w:cs="Times New Roman" w:eastAsia="Times New Roman" w:hAnsi="Calibri"/>
      <w:i w:val="1"/>
      <w:iCs w:val="1"/>
    </w:rPr>
  </w:style>
  <w:style w:type="paragraph" w:styleId="Ttulo9">
    <w:name w:val="heading 9"/>
    <w:basedOn w:val="Normal"/>
    <w:next w:val="Normal"/>
    <w:pPr>
      <w:numPr>
        <w:ilvl w:val="8"/>
        <w:numId w:val="4"/>
      </w:numPr>
      <w:spacing w:after="60" w:before="240"/>
      <w:ind w:left="-1" w:hanging="1"/>
      <w:outlineLvl w:val="8"/>
    </w:pPr>
    <w:rPr>
      <w:rFonts w:ascii="Cambria" w:cs="Times New Roman" w:eastAsia="Times New Roman" w:hAnsi="Cambria"/>
      <w:sz w:val="22"/>
      <w:szCs w:val="22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uiPriority w:val="10"/>
    <w:qFormat w:val="1"/>
    <w:pPr>
      <w:jc w:val="center"/>
    </w:pPr>
    <w:rPr>
      <w:rFonts w:ascii="Times New Roman" w:hAnsi="Times New Roman"/>
      <w:sz w:val="40"/>
    </w:rPr>
  </w:style>
  <w:style w:type="paragraph" w:styleId="Recuodecorpodetexto">
    <w:name w:val="Body Text Indent"/>
    <w:basedOn w:val="Normal"/>
    <w:pPr>
      <w:ind w:firstLine="720"/>
      <w:jc w:val="both"/>
    </w:pPr>
  </w:style>
  <w:style w:type="paragraph" w:styleId="Corpodetexto">
    <w:name w:val="Body Text"/>
    <w:basedOn w:val="Normal"/>
    <w:pPr>
      <w:spacing w:line="360" w:lineRule="auto"/>
      <w:jc w:val="both"/>
    </w:pPr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Pr>
      <w:w w:val="100"/>
      <w:position w:val="-1"/>
      <w:effect w:val="none"/>
      <w:vertAlign w:val="baseline"/>
      <w:cs w:val="0"/>
      <w:em w:val="none"/>
    </w:rPr>
  </w:style>
  <w:style w:type="paragraph" w:styleId="Recuodecorpodetexto2">
    <w:name w:val="Body Text Indent 2"/>
    <w:basedOn w:val="Normal"/>
    <w:pPr>
      <w:ind w:firstLine="851"/>
      <w:jc w:val="both"/>
    </w:pPr>
  </w:style>
  <w:style w:type="paragraph" w:styleId="TextosemFormatao">
    <w:name w:val="Plain Text"/>
    <w:basedOn w:val="Normal"/>
    <w:pPr>
      <w:autoSpaceDE w:val="0"/>
      <w:autoSpaceDN w:val="0"/>
    </w:pPr>
    <w:rPr>
      <w:rFonts w:ascii="Courier New" w:cs="Courier New" w:hAnsi="Courier New"/>
      <w:sz w:val="20"/>
    </w:rPr>
  </w:style>
  <w:style w:type="paragraph" w:styleId="Recuodecorpodetexto3">
    <w:name w:val="Body Text Indent 3"/>
    <w:basedOn w:val="Normal"/>
    <w:pPr>
      <w:ind w:right="-1" w:firstLine="1418"/>
      <w:jc w:val="both"/>
    </w:pPr>
  </w:style>
  <w:style w:type="paragraph" w:styleId="Ivo" w:customStyle="1">
    <w:name w:val="Ivo"/>
    <w:basedOn w:val="Normal"/>
    <w:pPr>
      <w:spacing w:after="120" w:before="120" w:line="360" w:lineRule="auto"/>
      <w:jc w:val="both"/>
    </w:pPr>
    <w:rPr>
      <w:b w:val="1"/>
      <w:bCs w:val="1"/>
    </w:rPr>
  </w:style>
  <w:style w:type="paragraph" w:styleId="Corpodetexto2">
    <w:name w:val="Body Text 2"/>
    <w:basedOn w:val="Normal"/>
  </w:style>
  <w:style w:type="paragraph" w:styleId="Corpodetexto3">
    <w:name w:val="Body Text 3"/>
    <w:basedOn w:val="Normal"/>
    <w:pPr>
      <w:pBdr>
        <w:top w:color="auto" w:space="15" w:sz="12" w:val="single"/>
        <w:left w:color="auto" w:space="15" w:sz="12" w:val="single"/>
        <w:bottom w:color="auto" w:space="15" w:sz="12" w:val="single"/>
        <w:right w:color="auto" w:space="15" w:sz="12" w:val="single"/>
      </w:pBdr>
      <w:jc w:val="center"/>
    </w:pPr>
    <w:rPr>
      <w:rFonts w:ascii="Helv" w:hAnsi="Helv"/>
      <w:b w:val="1"/>
      <w:color w:val="000000"/>
      <w:sz w:val="32"/>
    </w:rPr>
  </w:style>
  <w:style w:type="character" w:styleId="style11" w:customStyle="1">
    <w:name w:val="style11"/>
    <w:rPr>
      <w:rFonts w:ascii="Verdana" w:hAnsi="Verdana" w:hint="default"/>
      <w:b w:val="1"/>
      <w:bCs w:val="1"/>
      <w:color w:val="333333"/>
      <w:w w:val="100"/>
      <w:position w:val="-1"/>
      <w:sz w:val="18"/>
      <w:szCs w:val="18"/>
      <w:effect w:val="none"/>
      <w:vertAlign w:val="baseline"/>
      <w:cs w:val="0"/>
      <w:em w:val="none"/>
    </w:rPr>
  </w:style>
  <w:style w:type="character" w:styleId="style21" w:customStyle="1">
    <w:name w:val="style21"/>
    <w:rPr>
      <w:rFonts w:ascii="Arial" w:cs="Arial" w:hAnsi="Arial" w:hint="default"/>
      <w:b w:val="1"/>
      <w:bCs w:val="1"/>
      <w:w w:val="100"/>
      <w:position w:val="-1"/>
      <w:sz w:val="21"/>
      <w:szCs w:val="21"/>
      <w:effect w:val="none"/>
      <w:vertAlign w:val="baseline"/>
      <w:cs w:val="0"/>
      <w:em w:val="none"/>
    </w:rPr>
  </w:style>
  <w:style w:type="paragraph" w:styleId="MapadoDocumento">
    <w:name w:val="Document Map"/>
    <w:basedOn w:val="Normal"/>
    <w:pPr>
      <w:shd w:color="auto" w:fill="000080" w:val="clear"/>
    </w:pPr>
    <w:rPr>
      <w:rFonts w:ascii="Tahoma" w:cs="Tahoma" w:hAnsi="Tahoma"/>
      <w:sz w:val="20"/>
    </w:rPr>
  </w:style>
  <w:style w:type="character" w:styleId="Hyperlink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Forte">
    <w:name w:val="Strong"/>
    <w:rPr>
      <w:b w:val="1"/>
      <w:bCs w:val="1"/>
      <w:w w:val="100"/>
      <w:position w:val="-1"/>
      <w:effect w:val="none"/>
      <w:vertAlign w:val="baseline"/>
      <w:cs w:val="0"/>
      <w:em w:val="none"/>
    </w:rPr>
  </w:style>
  <w:style w:type="paragraph" w:styleId="NormalWeb">
    <w:name w:val="Normal (Web)"/>
    <w:basedOn w:val="Normal"/>
    <w:pPr>
      <w:spacing w:after="100" w:afterAutospacing="1" w:before="100" w:beforeAutospacing="1"/>
    </w:pPr>
    <w:rPr>
      <w:rFonts w:ascii="Times New Roman" w:hAnsi="Times New Roman"/>
    </w:rPr>
  </w:style>
  <w:style w:type="paragraph" w:styleId="recuo" w:customStyle="1">
    <w:name w:val="recuo"/>
    <w:basedOn w:val="Normal"/>
    <w:pPr>
      <w:spacing w:after="100" w:afterAutospacing="1" w:before="100" w:beforeAutospacing="1"/>
      <w:ind w:left="300"/>
    </w:pPr>
    <w:rPr>
      <w:rFonts w:ascii="Times New Roman" w:hAnsi="Times New Roman"/>
    </w:rPr>
  </w:style>
  <w:style w:type="character" w:styleId="recuob1" w:customStyle="1">
    <w:name w:val="recuob1"/>
    <w:basedOn w:val="Fontepargpadro"/>
    <w:rPr>
      <w:w w:val="100"/>
      <w:position w:val="-1"/>
      <w:effect w:val="none"/>
      <w:vertAlign w:val="baseline"/>
      <w:cs w:val="0"/>
      <w:em w:val="none"/>
    </w:rPr>
  </w:style>
  <w:style w:type="character" w:styleId="WW8Num1z0" w:customStyle="1">
    <w:name w:val="WW8Num1z0"/>
    <w:rPr>
      <w:rFonts w:ascii="Times New Roman" w:cs="Times New Roman" w:eastAsia="Times New Roman" w:hAnsi="Times New Roman"/>
      <w:w w:val="100"/>
      <w:position w:val="-1"/>
      <w:effect w:val="none"/>
      <w:vertAlign w:val="baseline"/>
      <w:cs w:val="0"/>
      <w:em w:val="none"/>
    </w:rPr>
  </w:style>
  <w:style w:type="character" w:styleId="WW8Num1z1" w:customStyle="1">
    <w:name w:val="WW8Num1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styleId="WW8Num1z2" w:customStyle="1">
    <w:name w:val="WW8Num1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styleId="WW8Num1z3" w:customStyle="1">
    <w:name w:val="WW8Num1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styleId="WW8Num2z0" w:customStyle="1">
    <w:name w:val="WW8Num2z0"/>
    <w:rPr>
      <w:rFonts w:ascii="Arial" w:hAnsi="Arial"/>
      <w:w w:val="100"/>
      <w:position w:val="-1"/>
      <w:sz w:val="24"/>
      <w:effect w:val="none"/>
      <w:vertAlign w:val="baseline"/>
      <w:cs w:val="0"/>
      <w:em w:val="none"/>
    </w:rPr>
  </w:style>
  <w:style w:type="character" w:styleId="WW8Num2z2" w:customStyle="1">
    <w:name w:val="WW8Num2z2"/>
    <w:rPr>
      <w:w w:val="100"/>
      <w:position w:val="-1"/>
      <w:sz w:val="24"/>
      <w:effect w:val="none"/>
      <w:vertAlign w:val="baseline"/>
      <w:cs w:val="0"/>
      <w:em w:val="none"/>
    </w:rPr>
  </w:style>
  <w:style w:type="character" w:styleId="WW8Num4z0" w:customStyle="1">
    <w:name w:val="WW8Num4z0"/>
    <w:rPr>
      <w:rFonts w:ascii="Symbol" w:hAnsi="Symbol"/>
      <w:w w:val="100"/>
      <w:position w:val="-1"/>
      <w:sz w:val="20"/>
      <w:effect w:val="none"/>
      <w:vertAlign w:val="baseline"/>
      <w:cs w:val="0"/>
      <w:em w:val="none"/>
    </w:rPr>
  </w:style>
  <w:style w:type="character" w:styleId="WW8Num5z0" w:customStyle="1">
    <w:name w:val="WW8Num5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styleId="WW8Num7z0" w:customStyle="1">
    <w:name w:val="WW8Num7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styleId="WW8Num8z0" w:customStyle="1">
    <w:name w:val="WW8Num8z0"/>
    <w:rPr>
      <w:rFonts w:ascii="Arial Narrow" w:hAnsi="Arial Narrow"/>
      <w:b w:val="1"/>
      <w:i w:val="0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styleId="WW8Num8z1" w:customStyle="1">
    <w:name w:val="WW8Num8z1"/>
    <w:rPr>
      <w:rFonts w:ascii="Arial Narrow" w:hAnsi="Arial Narrow"/>
      <w:b w:val="0"/>
      <w:i w:val="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styleId="WW8Num9z0" w:customStyle="1">
    <w:name w:val="WW8Num9z0"/>
    <w:rPr>
      <w:rFonts w:ascii="Arial" w:hAnsi="Arial"/>
      <w:w w:val="100"/>
      <w:position w:val="-1"/>
      <w:sz w:val="24"/>
      <w:effect w:val="none"/>
      <w:vertAlign w:val="baseline"/>
      <w:cs w:val="0"/>
      <w:em w:val="none"/>
    </w:rPr>
  </w:style>
  <w:style w:type="character" w:styleId="WW8Num9z2" w:customStyle="1">
    <w:name w:val="WW8Num9z2"/>
    <w:rPr>
      <w:w w:val="100"/>
      <w:position w:val="-1"/>
      <w:sz w:val="24"/>
      <w:effect w:val="none"/>
      <w:vertAlign w:val="baseline"/>
      <w:cs w:val="0"/>
      <w:em w:val="none"/>
    </w:rPr>
  </w:style>
  <w:style w:type="character" w:styleId="WW8Num10z0" w:customStyle="1">
    <w:name w:val="WW8Num10z0"/>
    <w:rPr>
      <w:rFonts w:ascii="Arial" w:hAnsi="Arial"/>
      <w:w w:val="100"/>
      <w:position w:val="-1"/>
      <w:sz w:val="24"/>
      <w:effect w:val="none"/>
      <w:vertAlign w:val="baseline"/>
      <w:cs w:val="0"/>
      <w:em w:val="none"/>
    </w:rPr>
  </w:style>
  <w:style w:type="character" w:styleId="WW8Num10z2" w:customStyle="1">
    <w:name w:val="WW8Num10z2"/>
    <w:rPr>
      <w:w w:val="100"/>
      <w:position w:val="-1"/>
      <w:sz w:val="24"/>
      <w:effect w:val="none"/>
      <w:vertAlign w:val="baseline"/>
      <w:cs w:val="0"/>
      <w:em w:val="none"/>
    </w:rPr>
  </w:style>
  <w:style w:type="character" w:styleId="WW8Num11z0" w:customStyle="1">
    <w:name w:val="WW8Num11z0"/>
    <w:rPr>
      <w:rFonts w:ascii="Arial" w:hAnsi="Arial"/>
      <w:w w:val="100"/>
      <w:position w:val="-1"/>
      <w:sz w:val="24"/>
      <w:effect w:val="none"/>
      <w:vertAlign w:val="baseline"/>
      <w:cs w:val="0"/>
      <w:em w:val="none"/>
    </w:rPr>
  </w:style>
  <w:style w:type="character" w:styleId="WW8Num11z2" w:customStyle="1">
    <w:name w:val="WW8Num11z2"/>
    <w:rPr>
      <w:w w:val="100"/>
      <w:position w:val="-1"/>
      <w:sz w:val="24"/>
      <w:effect w:val="none"/>
      <w:vertAlign w:val="baseline"/>
      <w:cs w:val="0"/>
      <w:em w:val="none"/>
    </w:rPr>
  </w:style>
  <w:style w:type="character" w:styleId="WW8Num12z0" w:customStyle="1">
    <w:name w:val="WW8Num12z0"/>
    <w:rPr>
      <w:rFonts w:ascii="Arial" w:hAnsi="Arial"/>
      <w:w w:val="100"/>
      <w:position w:val="-1"/>
      <w:sz w:val="24"/>
      <w:effect w:val="none"/>
      <w:vertAlign w:val="baseline"/>
      <w:cs w:val="0"/>
      <w:em w:val="none"/>
    </w:rPr>
  </w:style>
  <w:style w:type="character" w:styleId="WW8Num12z2" w:customStyle="1">
    <w:name w:val="WW8Num12z2"/>
    <w:rPr>
      <w:w w:val="100"/>
      <w:position w:val="-1"/>
      <w:sz w:val="24"/>
      <w:effect w:val="none"/>
      <w:vertAlign w:val="baseline"/>
      <w:cs w:val="0"/>
      <w:em w:val="none"/>
    </w:rPr>
  </w:style>
  <w:style w:type="character" w:styleId="WW8Num13z0" w:customStyle="1">
    <w:name w:val="WW8Num13z0"/>
    <w:rPr>
      <w:rFonts w:ascii="ZapfHumnst BT" w:hAnsi="ZapfHumnst BT"/>
      <w:b w:val="1"/>
      <w:i w:val="0"/>
      <w:w w:val="100"/>
      <w:position w:val="-1"/>
      <w:sz w:val="20"/>
      <w:szCs w:val="20"/>
      <w:effect w:val="none"/>
      <w:vertAlign w:val="baseline"/>
      <w:cs w:val="0"/>
      <w:em w:val="none"/>
    </w:rPr>
  </w:style>
  <w:style w:type="character" w:styleId="WW8Num13z1" w:customStyle="1">
    <w:name w:val="WW8Num13z1"/>
    <w:rPr>
      <w:rFonts w:ascii="ZapfHumnst BT" w:hAnsi="ZapfHumnst BT"/>
      <w:b w:val="0"/>
      <w:i w:val="0"/>
      <w:w w:val="100"/>
      <w:position w:val="-1"/>
      <w:sz w:val="20"/>
      <w:szCs w:val="20"/>
      <w:effect w:val="none"/>
      <w:vertAlign w:val="baseline"/>
      <w:cs w:val="0"/>
      <w:em w:val="none"/>
    </w:rPr>
  </w:style>
  <w:style w:type="character" w:styleId="WW8Num13z5" w:customStyle="1">
    <w:name w:val="WW8Num13z5"/>
    <w:rPr>
      <w:rFonts w:ascii="Arial Narrow" w:hAnsi="Arial Narrow"/>
      <w:b w:val="0"/>
      <w:i w:val="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styleId="WW8Num14z0" w:customStyle="1">
    <w:name w:val="WW8Num14z0"/>
    <w:rPr>
      <w:rFonts w:ascii="Times New Roman" w:cs="Times New Roman" w:eastAsia="Times New Roman" w:hAnsi="Times New Roman"/>
      <w:w w:val="100"/>
      <w:position w:val="-1"/>
      <w:effect w:val="none"/>
      <w:vertAlign w:val="baseline"/>
      <w:cs w:val="0"/>
      <w:em w:val="none"/>
    </w:rPr>
  </w:style>
  <w:style w:type="character" w:styleId="WW8Num14z1" w:customStyle="1">
    <w:name w:val="WW8Num14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styleId="WW8Num14z2" w:customStyle="1">
    <w:name w:val="WW8Num14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styleId="WW8Num14z3" w:customStyle="1">
    <w:name w:val="WW8Num14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styleId="WW8Num15z0" w:customStyle="1">
    <w:name w:val="WW8Num15z0"/>
    <w:rPr>
      <w:rFonts w:ascii="Arial" w:hAnsi="Arial"/>
      <w:w w:val="100"/>
      <w:position w:val="-1"/>
      <w:sz w:val="24"/>
      <w:effect w:val="none"/>
      <w:vertAlign w:val="baseline"/>
      <w:cs w:val="0"/>
      <w:em w:val="none"/>
    </w:rPr>
  </w:style>
  <w:style w:type="character" w:styleId="WW8Num15z2" w:customStyle="1">
    <w:name w:val="WW8Num15z2"/>
    <w:rPr>
      <w:w w:val="100"/>
      <w:position w:val="-1"/>
      <w:sz w:val="24"/>
      <w:effect w:val="none"/>
      <w:vertAlign w:val="baseline"/>
      <w:cs w:val="0"/>
      <w:em w:val="none"/>
    </w:rPr>
  </w:style>
  <w:style w:type="character" w:styleId="Fontepargpadro1" w:customStyle="1">
    <w:name w:val="Fonte parág. padrão1"/>
    <w:rPr>
      <w:w w:val="100"/>
      <w:position w:val="-1"/>
      <w:effect w:val="none"/>
      <w:vertAlign w:val="baseline"/>
      <w:cs w:val="0"/>
      <w:em w:val="none"/>
    </w:rPr>
  </w:style>
  <w:style w:type="paragraph" w:styleId="Captulo" w:customStyle="1">
    <w:name w:val="Capítulo"/>
    <w:basedOn w:val="Normal"/>
    <w:next w:val="Corpodetexto"/>
    <w:pPr>
      <w:keepNext w:val="1"/>
      <w:spacing w:after="120" w:before="240"/>
    </w:pPr>
    <w:rPr>
      <w:rFonts w:cs="Tahoma" w:eastAsia="MS Mincho"/>
      <w:sz w:val="28"/>
      <w:szCs w:val="28"/>
      <w:lang w:eastAsia="ar-SA"/>
    </w:rPr>
  </w:style>
  <w:style w:type="paragraph" w:styleId="Lista">
    <w:name w:val="List"/>
    <w:basedOn w:val="Corpodetexto"/>
    <w:rPr>
      <w:rFonts w:cs="Tahoma"/>
      <w:lang w:eastAsia="ar-SA"/>
    </w:rPr>
  </w:style>
  <w:style w:type="paragraph" w:styleId="Legenda1" w:customStyle="1">
    <w:name w:val="Legenda1"/>
    <w:basedOn w:val="Normal"/>
    <w:pPr>
      <w:suppressLineNumbers w:val="1"/>
      <w:spacing w:after="120" w:before="120"/>
    </w:pPr>
    <w:rPr>
      <w:rFonts w:cs="Tahoma"/>
      <w:i w:val="1"/>
      <w:iCs w:val="1"/>
      <w:lang w:eastAsia="ar-SA"/>
    </w:rPr>
  </w:style>
  <w:style w:type="paragraph" w:styleId="ndice" w:customStyle="1">
    <w:name w:val="Índice"/>
    <w:basedOn w:val="Normal"/>
    <w:pPr>
      <w:suppressLineNumbers w:val="1"/>
    </w:pPr>
    <w:rPr>
      <w:rFonts w:cs="Tahoma"/>
      <w:lang w:eastAsia="ar-SA"/>
    </w:rPr>
  </w:style>
  <w:style w:type="paragraph" w:styleId="Recuodecorpodetexto21" w:customStyle="1">
    <w:name w:val="Recuo de corpo de texto 21"/>
    <w:basedOn w:val="Normal"/>
    <w:pPr>
      <w:ind w:firstLine="851"/>
      <w:jc w:val="both"/>
    </w:pPr>
    <w:rPr>
      <w:lang w:eastAsia="ar-SA"/>
    </w:rPr>
  </w:style>
  <w:style w:type="paragraph" w:styleId="TextosemFormatao1" w:customStyle="1">
    <w:name w:val="Texto sem Formatação1"/>
    <w:basedOn w:val="Normal"/>
    <w:pPr>
      <w:autoSpaceDE w:val="0"/>
    </w:pPr>
    <w:rPr>
      <w:rFonts w:ascii="Courier New" w:cs="Courier New" w:hAnsi="Courier New"/>
      <w:sz w:val="20"/>
      <w:lang w:eastAsia="ar-SA"/>
    </w:rPr>
  </w:style>
  <w:style w:type="paragraph" w:styleId="Recuodecorpodetexto31" w:customStyle="1">
    <w:name w:val="Recuo de corpo de texto 31"/>
    <w:basedOn w:val="Normal"/>
    <w:pPr>
      <w:ind w:right="-1" w:firstLine="1418"/>
      <w:jc w:val="both"/>
    </w:pPr>
    <w:rPr>
      <w:lang w:eastAsia="ar-SA"/>
    </w:rPr>
  </w:style>
  <w:style w:type="paragraph" w:styleId="Corpodetexto21" w:customStyle="1">
    <w:name w:val="Corpo de texto 21"/>
    <w:basedOn w:val="Normal"/>
    <w:rPr>
      <w:lang w:eastAsia="ar-SA"/>
    </w:rPr>
  </w:style>
  <w:style w:type="paragraph" w:styleId="Corpodetexto31" w:customStyle="1">
    <w:name w:val="Corpo de texto 31"/>
    <w:basedOn w:val="Normal"/>
    <w:pPr>
      <w:pBdr>
        <w:top w:color="000000" w:space="15" w:sz="8" w:val="single"/>
        <w:left w:color="000000" w:space="15" w:sz="8" w:val="single"/>
        <w:bottom w:color="000000" w:space="15" w:sz="8" w:val="single"/>
        <w:right w:color="000000" w:space="15" w:sz="8" w:val="single"/>
      </w:pBdr>
      <w:jc w:val="center"/>
    </w:pPr>
    <w:rPr>
      <w:rFonts w:ascii="Helv" w:hAnsi="Helv"/>
      <w:b w:val="1"/>
      <w:color w:val="000000"/>
      <w:sz w:val="32"/>
      <w:lang w:eastAsia="ar-SA"/>
    </w:rPr>
  </w:style>
  <w:style w:type="paragraph" w:styleId="Textodebalo">
    <w:name w:val="Balloon Text"/>
    <w:basedOn w:val="Normal"/>
    <w:rPr>
      <w:rFonts w:ascii="Tahoma" w:cs="Tahoma" w:hAnsi="Tahoma"/>
      <w:sz w:val="16"/>
      <w:szCs w:val="16"/>
    </w:rPr>
  </w:style>
  <w:style w:type="character" w:styleId="TextodebaloChar" w:customStyle="1">
    <w:name w:val="Texto de balão Char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PargrafodaLista">
    <w:name w:val="List Paragraph"/>
    <w:basedOn w:val="Normal"/>
    <w:pPr>
      <w:ind w:left="708"/>
    </w:pPr>
  </w:style>
  <w:style w:type="character" w:styleId="CorpodetextoChar" w:customStyle="1">
    <w:name w:val="Corpo de texto Char"/>
    <w:rPr>
      <w:rFonts w:ascii="Arial" w:hAnsi="Arial"/>
      <w:w w:val="100"/>
      <w:position w:val="-1"/>
      <w:sz w:val="24"/>
      <w:effect w:val="none"/>
      <w:vertAlign w:val="baseline"/>
      <w:cs w:val="0"/>
      <w:em w:val="none"/>
    </w:rPr>
  </w:style>
  <w:style w:type="table" w:styleId="Tabelacomgrade">
    <w:name w:val="Table Grid"/>
    <w:basedOn w:val="Tabelanormal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TtuloChar" w:customStyle="1">
    <w:name w:val="Título Char"/>
    <w:rPr>
      <w:w w:val="100"/>
      <w:position w:val="-1"/>
      <w:sz w:val="40"/>
      <w:effect w:val="none"/>
      <w:vertAlign w:val="baseline"/>
      <w:cs w:val="0"/>
      <w:em w:val="none"/>
    </w:rPr>
  </w:style>
  <w:style w:type="character" w:styleId="Ttulo6Char" w:customStyle="1">
    <w:name w:val="Título 6 Char"/>
    <w:rPr>
      <w:rFonts w:ascii="Calibri" w:hAnsi="Calibri"/>
      <w:b w:val="1"/>
      <w:bCs w:val="1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styleId="Ttulo7Char" w:customStyle="1">
    <w:name w:val="Título 7 Char"/>
    <w:rPr>
      <w:rFonts w:ascii="Calibri" w:hAnsi="Calibri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styleId="Ttulo8Char" w:customStyle="1">
    <w:name w:val="Título 8 Char"/>
    <w:rPr>
      <w:rFonts w:ascii="Calibri" w:hAnsi="Calibri"/>
      <w:i w:val="1"/>
      <w:iCs w:val="1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styleId="Ttulo9Char" w:customStyle="1">
    <w:name w:val="Título 9 Char"/>
    <w:rPr>
      <w:rFonts w:ascii="Cambria" w:hAnsi="Cambria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styleId="TextoNivel2" w:customStyle="1">
    <w:name w:val="Texto Nivel2"/>
    <w:basedOn w:val="Corpodetexto"/>
    <w:pPr>
      <w:numPr>
        <w:ilvl w:val="1"/>
        <w:numId w:val="1"/>
      </w:numPr>
      <w:spacing w:before="120" w:line="240" w:lineRule="auto"/>
      <w:ind w:left="-1" w:hanging="1"/>
    </w:pPr>
    <w:rPr>
      <w:sz w:val="20"/>
    </w:rPr>
  </w:style>
  <w:style w:type="paragraph" w:styleId="TextoItens" w:customStyle="1">
    <w:name w:val="Texto Itens"/>
    <w:basedOn w:val="Corpodetexto"/>
    <w:pPr>
      <w:spacing w:line="240" w:lineRule="auto"/>
      <w:ind w:firstLine="1134"/>
    </w:pPr>
    <w:rPr>
      <w:sz w:val="20"/>
    </w:rPr>
  </w:style>
  <w:style w:type="character" w:styleId="TextoNivel2Char" w:customStyle="1">
    <w:name w:val="Texto Nivel2 Char"/>
    <w:rPr>
      <w:rFonts w:ascii="Arial" w:cs="Arial" w:hAnsi="Arial"/>
      <w:w w:val="100"/>
      <w:position w:val="-1"/>
      <w:sz w:val="24"/>
      <w:effect w:val="none"/>
      <w:vertAlign w:val="baseline"/>
      <w:cs w:val="0"/>
      <w:em w:val="none"/>
    </w:rPr>
  </w:style>
  <w:style w:type="character" w:styleId="WW8Num1z5" w:customStyle="1">
    <w:name w:val="WW8Num1z5"/>
    <w:rPr>
      <w:rFonts w:ascii="Arial Narrow" w:hAnsi="Arial Narrow"/>
      <w:b w:val="0"/>
      <w:i w:val="0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styleId="TextoItensChar" w:customStyle="1">
    <w:name w:val="Texto Itens Char"/>
    <w:rPr>
      <w:rFonts w:ascii="Arial" w:cs="Arial" w:hAnsi="Arial"/>
      <w:w w:val="100"/>
      <w:position w:val="-1"/>
      <w:sz w:val="24"/>
      <w:effect w:val="none"/>
      <w:vertAlign w:val="baseline"/>
      <w:cs w:val="0"/>
      <w:em w:val="none"/>
    </w:rPr>
  </w:style>
  <w:style w:type="character" w:styleId="apple-converted-space" w:customStyle="1">
    <w:name w:val="apple-converted-space"/>
    <w:basedOn w:val="Fontepargpadro"/>
    <w:rPr>
      <w:w w:val="100"/>
      <w:position w:val="-1"/>
      <w:effect w:val="none"/>
      <w:vertAlign w:val="baseline"/>
      <w:cs w:val="0"/>
      <w:em w:val="none"/>
    </w:rPr>
  </w:style>
  <w:style w:type="paragraph" w:styleId="Estilo" w:customStyle="1">
    <w:name w:val="Estilo"/>
    <w:pPr>
      <w:widowControl w:val="0"/>
      <w:suppressAutoHyphens w:val="1"/>
      <w:autoSpaceDE w:val="0"/>
      <w:autoSpaceDN w:val="0"/>
      <w:adjustRightInd w:val="0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Verdana" w:hAnsi="Verdana"/>
      <w:position w:val="-1"/>
    </w:rPr>
  </w:style>
  <w:style w:type="numbering" w:styleId="111111">
    <w:name w:val="Outline List 2"/>
    <w:basedOn w:val="Semlista"/>
  </w:style>
  <w:style w:type="paragraph" w:styleId="WW-Lista2" w:customStyle="1">
    <w:name w:val="WW-Lista 2"/>
    <w:basedOn w:val="Normal"/>
    <w:pPr>
      <w:suppressAutoHyphens w:val="0"/>
      <w:ind w:left="566" w:hanging="283"/>
    </w:pPr>
    <w:rPr>
      <w:rFonts w:ascii="Times New Roman" w:hAnsi="Times New Roman"/>
      <w:sz w:val="20"/>
      <w:lang w:eastAsia="ar-SA"/>
    </w:rPr>
  </w:style>
  <w:style w:type="paragraph" w:styleId="PN" w:customStyle="1">
    <w:name w:val="PN"/>
    <w:basedOn w:val="Normal"/>
    <w:pPr>
      <w:suppressAutoHyphens w:val="0"/>
      <w:overflowPunct w:val="0"/>
      <w:autoSpaceDE w:val="0"/>
      <w:spacing w:line="360" w:lineRule="atLeast"/>
      <w:jc w:val="both"/>
      <w:textAlignment w:val="baseline"/>
    </w:pPr>
    <w:rPr>
      <w:rFonts w:eastAsia="Calibri"/>
      <w:sz w:val="22"/>
      <w:szCs w:val="22"/>
      <w:lang w:eastAsia="ar-SA"/>
    </w:rPr>
  </w:style>
  <w:style w:type="character" w:styleId="nfase">
    <w:name w:val="Emphasis"/>
    <w:rPr>
      <w:i w:val="1"/>
      <w:iCs w:val="1"/>
      <w:w w:val="100"/>
      <w:position w:val="-1"/>
      <w:effect w:val="none"/>
      <w:vertAlign w:val="baseline"/>
      <w:cs w:val="0"/>
      <w:em w:val="none"/>
    </w:rPr>
  </w:style>
  <w:style w:type="paragraph" w:styleId="Subttulo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9QBZC5/SKa92tfim8pD93UY/Tvg==">AMUW2mVrlbRFWf9399MZKtDKg9eKp1kMT5Ck1owPrlASc8f5P4UdlK+WnUpG5t6iKkJCAh5irfYJdJVDgtJmEPFD/+EHwO1DNCQZVj09/ONTGUonDfzF27et6bDasyWhG85FQzuIJ7+p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2021-07-23T11:49:00Z</dcterms:created>
  <dc:creator>Daniel Barin</dc:creator>
</cp:coreProperties>
</file>